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51" w:rsidRDefault="000D0051" w:rsidP="00DE19E1">
      <w:pPr>
        <w:jc w:val="center"/>
        <w:rPr>
          <w:b/>
          <w:sz w:val="32"/>
          <w:szCs w:val="32"/>
        </w:rPr>
      </w:pPr>
      <w:bookmarkStart w:id="0" w:name="_GoBack"/>
      <w:bookmarkEnd w:id="0"/>
      <w:r>
        <w:rPr>
          <w:b/>
          <w:sz w:val="32"/>
          <w:szCs w:val="32"/>
        </w:rPr>
        <w:t xml:space="preserve">Question and Answer Summary </w:t>
      </w:r>
    </w:p>
    <w:p w:rsidR="000D0051" w:rsidRDefault="000D0051" w:rsidP="00DE19E1">
      <w:pPr>
        <w:jc w:val="center"/>
        <w:rPr>
          <w:b/>
          <w:sz w:val="32"/>
          <w:szCs w:val="32"/>
        </w:rPr>
      </w:pPr>
      <w:r>
        <w:rPr>
          <w:b/>
          <w:sz w:val="32"/>
          <w:szCs w:val="32"/>
        </w:rPr>
        <w:t>Pre</w:t>
      </w:r>
      <w:r w:rsidR="00B4159E">
        <w:rPr>
          <w:b/>
          <w:sz w:val="32"/>
          <w:szCs w:val="32"/>
        </w:rPr>
        <w:t>-</w:t>
      </w:r>
      <w:r>
        <w:rPr>
          <w:b/>
          <w:sz w:val="32"/>
          <w:szCs w:val="32"/>
        </w:rPr>
        <w:t>Application Conference</w:t>
      </w:r>
    </w:p>
    <w:p w:rsidR="000D0051" w:rsidRDefault="000D0051" w:rsidP="00DE19E1">
      <w:pPr>
        <w:jc w:val="center"/>
        <w:rPr>
          <w:b/>
          <w:sz w:val="32"/>
          <w:szCs w:val="32"/>
        </w:rPr>
      </w:pPr>
      <w:r>
        <w:rPr>
          <w:b/>
          <w:sz w:val="32"/>
          <w:szCs w:val="32"/>
        </w:rPr>
        <w:t>Capacity Building Application</w:t>
      </w:r>
    </w:p>
    <w:p w:rsidR="000D0051" w:rsidRPr="00DE19E1" w:rsidRDefault="000D0051" w:rsidP="00DE19E1">
      <w:pPr>
        <w:jc w:val="center"/>
        <w:rPr>
          <w:b/>
          <w:sz w:val="32"/>
          <w:szCs w:val="32"/>
        </w:rPr>
      </w:pPr>
      <w:r>
        <w:rPr>
          <w:b/>
          <w:sz w:val="32"/>
          <w:szCs w:val="32"/>
        </w:rPr>
        <w:t xml:space="preserve"> July 2015</w:t>
      </w:r>
    </w:p>
    <w:p w:rsidR="000D0051" w:rsidRDefault="000D0051" w:rsidP="000D0051"/>
    <w:tbl>
      <w:tblPr>
        <w:tblStyle w:val="TableGrid"/>
        <w:tblW w:w="0" w:type="auto"/>
        <w:tblLook w:val="04A0" w:firstRow="1" w:lastRow="0" w:firstColumn="1" w:lastColumn="0" w:noHBand="0" w:noVBand="1"/>
      </w:tblPr>
      <w:tblGrid>
        <w:gridCol w:w="4788"/>
        <w:gridCol w:w="4788"/>
      </w:tblGrid>
      <w:tr w:rsidR="000D0051" w:rsidRPr="004E6FE3" w:rsidTr="000D0051">
        <w:tc>
          <w:tcPr>
            <w:tcW w:w="9576" w:type="dxa"/>
            <w:gridSpan w:val="2"/>
            <w:shd w:val="clear" w:color="auto" w:fill="BFBFBF" w:themeFill="background1" w:themeFillShade="BF"/>
          </w:tcPr>
          <w:p w:rsidR="000D0051" w:rsidRPr="000D0051" w:rsidRDefault="000D0051" w:rsidP="000D0051">
            <w:pPr>
              <w:jc w:val="center"/>
              <w:rPr>
                <w:b/>
                <w:szCs w:val="24"/>
              </w:rPr>
            </w:pPr>
            <w:r w:rsidRPr="000D0051">
              <w:rPr>
                <w:b/>
                <w:szCs w:val="24"/>
              </w:rPr>
              <w:t>COHORTS</w:t>
            </w:r>
            <w:r w:rsidR="004E6FE3">
              <w:rPr>
                <w:b/>
                <w:szCs w:val="24"/>
              </w:rPr>
              <w:t xml:space="preserve"> QUESTIONS</w:t>
            </w:r>
          </w:p>
        </w:tc>
      </w:tr>
      <w:tr w:rsidR="000D0051" w:rsidRPr="004E6FE3" w:rsidTr="000D0051">
        <w:tc>
          <w:tcPr>
            <w:tcW w:w="4788" w:type="dxa"/>
            <w:shd w:val="clear" w:color="auto" w:fill="F2F2F2" w:themeFill="background1" w:themeFillShade="F2"/>
          </w:tcPr>
          <w:p w:rsidR="000D0051" w:rsidRPr="004E6FE3" w:rsidRDefault="000D0051" w:rsidP="000D0051">
            <w:pPr>
              <w:jc w:val="center"/>
              <w:rPr>
                <w:b/>
                <w:szCs w:val="24"/>
              </w:rPr>
            </w:pPr>
            <w:r w:rsidRPr="004E6FE3">
              <w:rPr>
                <w:b/>
                <w:szCs w:val="24"/>
              </w:rPr>
              <w:t>QUESTION</w:t>
            </w:r>
          </w:p>
        </w:tc>
        <w:tc>
          <w:tcPr>
            <w:tcW w:w="4788" w:type="dxa"/>
            <w:shd w:val="clear" w:color="auto" w:fill="F2F2F2" w:themeFill="background1" w:themeFillShade="F2"/>
          </w:tcPr>
          <w:p w:rsidR="000D0051" w:rsidRPr="004E6FE3" w:rsidRDefault="000D0051" w:rsidP="000D0051">
            <w:pPr>
              <w:jc w:val="center"/>
              <w:rPr>
                <w:b/>
                <w:szCs w:val="24"/>
              </w:rPr>
            </w:pPr>
            <w:r w:rsidRPr="004E6FE3">
              <w:rPr>
                <w:b/>
                <w:szCs w:val="24"/>
              </w:rPr>
              <w:t>ANSWER</w:t>
            </w:r>
          </w:p>
        </w:tc>
      </w:tr>
      <w:tr w:rsidR="000D0051" w:rsidRPr="004E6FE3" w:rsidTr="000D0051">
        <w:tc>
          <w:tcPr>
            <w:tcW w:w="4788" w:type="dxa"/>
          </w:tcPr>
          <w:p w:rsidR="000D0051" w:rsidRPr="004E6FE3" w:rsidRDefault="00B4159E" w:rsidP="00B4159E">
            <w:pPr>
              <w:rPr>
                <w:szCs w:val="24"/>
              </w:rPr>
            </w:pPr>
            <w:r>
              <w:rPr>
                <w:szCs w:val="24"/>
              </w:rPr>
              <w:t>I</w:t>
            </w:r>
            <w:r w:rsidR="000D0051" w:rsidRPr="00DE19E1">
              <w:rPr>
                <w:szCs w:val="24"/>
              </w:rPr>
              <w:t xml:space="preserve">f </w:t>
            </w:r>
            <w:r>
              <w:rPr>
                <w:szCs w:val="24"/>
              </w:rPr>
              <w:t>any applying</w:t>
            </w:r>
            <w:r w:rsidRPr="00DE19E1">
              <w:rPr>
                <w:szCs w:val="24"/>
              </w:rPr>
              <w:t xml:space="preserve"> </w:t>
            </w:r>
            <w:r w:rsidR="000D0051" w:rsidRPr="00DE19E1">
              <w:rPr>
                <w:szCs w:val="24"/>
              </w:rPr>
              <w:t>cohort has not work</w:t>
            </w:r>
            <w:r w:rsidR="004E6FE3">
              <w:rPr>
                <w:szCs w:val="24"/>
              </w:rPr>
              <w:t>ed</w:t>
            </w:r>
            <w:r>
              <w:rPr>
                <w:szCs w:val="24"/>
              </w:rPr>
              <w:t xml:space="preserve"> together </w:t>
            </w:r>
            <w:r w:rsidR="004E6FE3">
              <w:rPr>
                <w:szCs w:val="24"/>
              </w:rPr>
              <w:t>in the past</w:t>
            </w:r>
            <w:r>
              <w:rPr>
                <w:szCs w:val="24"/>
              </w:rPr>
              <w:t xml:space="preserve">, is </w:t>
            </w:r>
            <w:r w:rsidR="000D0051" w:rsidRPr="00DE19E1">
              <w:rPr>
                <w:szCs w:val="24"/>
              </w:rPr>
              <w:t xml:space="preserve">it still possible to apply as a cohort? </w:t>
            </w:r>
          </w:p>
        </w:tc>
        <w:tc>
          <w:tcPr>
            <w:tcW w:w="4788" w:type="dxa"/>
          </w:tcPr>
          <w:p w:rsidR="000D0051" w:rsidRPr="000D0051" w:rsidRDefault="004E6FE3" w:rsidP="00DE19E1">
            <w:pPr>
              <w:rPr>
                <w:szCs w:val="24"/>
              </w:rPr>
            </w:pPr>
            <w:r>
              <w:rPr>
                <w:szCs w:val="24"/>
              </w:rPr>
              <w:t xml:space="preserve">Yes, a newly formed cohort without prior experience working together can apply. </w:t>
            </w:r>
          </w:p>
        </w:tc>
      </w:tr>
      <w:tr w:rsidR="000D0051" w:rsidRPr="004E6FE3" w:rsidTr="000D0051">
        <w:tc>
          <w:tcPr>
            <w:tcW w:w="4788" w:type="dxa"/>
          </w:tcPr>
          <w:p w:rsidR="000D0051" w:rsidRPr="000D0051" w:rsidRDefault="000D0051" w:rsidP="004E6FE3">
            <w:pPr>
              <w:rPr>
                <w:szCs w:val="24"/>
              </w:rPr>
            </w:pPr>
            <w:r w:rsidRPr="00DE19E1">
              <w:rPr>
                <w:szCs w:val="24"/>
              </w:rPr>
              <w:t xml:space="preserve">In bringing together </w:t>
            </w:r>
            <w:r w:rsidR="004E6FE3">
              <w:rPr>
                <w:szCs w:val="24"/>
              </w:rPr>
              <w:t>a cohort</w:t>
            </w:r>
            <w:r w:rsidRPr="00DE19E1">
              <w:rPr>
                <w:szCs w:val="24"/>
              </w:rPr>
              <w:t>, there is a</w:t>
            </w:r>
            <w:r w:rsidR="004E6FE3">
              <w:rPr>
                <w:szCs w:val="24"/>
              </w:rPr>
              <w:t xml:space="preserve">n administrative </w:t>
            </w:r>
            <w:r w:rsidRPr="00DE19E1">
              <w:rPr>
                <w:szCs w:val="24"/>
              </w:rPr>
              <w:t xml:space="preserve">cost of </w:t>
            </w:r>
            <w:r w:rsidR="004E6FE3" w:rsidRPr="004E6FE3">
              <w:rPr>
                <w:szCs w:val="24"/>
              </w:rPr>
              <w:t>coordination</w:t>
            </w:r>
            <w:r w:rsidR="004E6FE3">
              <w:rPr>
                <w:szCs w:val="24"/>
              </w:rPr>
              <w:t xml:space="preserve">; will the Commission provide support for that </w:t>
            </w:r>
            <w:r w:rsidR="00B4159E">
              <w:rPr>
                <w:szCs w:val="24"/>
              </w:rPr>
              <w:t xml:space="preserve">in the negotiated </w:t>
            </w:r>
            <w:r w:rsidR="004E6FE3">
              <w:rPr>
                <w:szCs w:val="24"/>
              </w:rPr>
              <w:t>scope of work?</w:t>
            </w:r>
          </w:p>
        </w:tc>
        <w:tc>
          <w:tcPr>
            <w:tcW w:w="4788" w:type="dxa"/>
          </w:tcPr>
          <w:p w:rsidR="000D0051" w:rsidRPr="000D0051" w:rsidRDefault="004E6FE3" w:rsidP="00B4159E">
            <w:pPr>
              <w:rPr>
                <w:szCs w:val="24"/>
              </w:rPr>
            </w:pPr>
            <w:r>
              <w:rPr>
                <w:szCs w:val="24"/>
              </w:rPr>
              <w:t xml:space="preserve">Yes, </w:t>
            </w:r>
            <w:r w:rsidRPr="004E6FE3">
              <w:rPr>
                <w:szCs w:val="24"/>
              </w:rPr>
              <w:t>cohorts</w:t>
            </w:r>
            <w:r>
              <w:rPr>
                <w:szCs w:val="24"/>
              </w:rPr>
              <w:t xml:space="preserve"> should include such administrative needs in the section of the narrative</w:t>
            </w:r>
            <w:r w:rsidR="00B4159E">
              <w:rPr>
                <w:szCs w:val="24"/>
              </w:rPr>
              <w:t>,</w:t>
            </w:r>
            <w:r>
              <w:rPr>
                <w:szCs w:val="24"/>
              </w:rPr>
              <w:t xml:space="preserve"> </w:t>
            </w:r>
            <w:r>
              <w:rPr>
                <w:i/>
                <w:szCs w:val="24"/>
              </w:rPr>
              <w:t xml:space="preserve">Technical Assistance Resources Needed. </w:t>
            </w:r>
            <w:r>
              <w:rPr>
                <w:szCs w:val="24"/>
              </w:rPr>
              <w:t xml:space="preserve">Cohorts are encouraged to be specific in their request </w:t>
            </w:r>
            <w:r w:rsidR="00B4159E">
              <w:rPr>
                <w:szCs w:val="24"/>
              </w:rPr>
              <w:t xml:space="preserve">about what they will need to succeed </w:t>
            </w:r>
            <w:r>
              <w:rPr>
                <w:szCs w:val="24"/>
              </w:rPr>
              <w:t>and to also incorporate any in</w:t>
            </w:r>
            <w:r w:rsidR="00B4159E">
              <w:rPr>
                <w:szCs w:val="24"/>
              </w:rPr>
              <w:t>-</w:t>
            </w:r>
            <w:r>
              <w:rPr>
                <w:szCs w:val="24"/>
              </w:rPr>
              <w:t xml:space="preserve">kind support that might be offered as well. </w:t>
            </w:r>
          </w:p>
        </w:tc>
      </w:tr>
      <w:tr w:rsidR="000D0051" w:rsidRPr="004E6FE3" w:rsidTr="000D0051">
        <w:tc>
          <w:tcPr>
            <w:tcW w:w="4788" w:type="dxa"/>
          </w:tcPr>
          <w:p w:rsidR="000D0051" w:rsidRPr="000D0051" w:rsidRDefault="000D0051" w:rsidP="004E6FE3">
            <w:pPr>
              <w:rPr>
                <w:szCs w:val="24"/>
              </w:rPr>
            </w:pPr>
            <w:r w:rsidRPr="00DE19E1">
              <w:rPr>
                <w:szCs w:val="24"/>
              </w:rPr>
              <w:t>Does the L</w:t>
            </w:r>
            <w:r w:rsidR="004E6FE3">
              <w:rPr>
                <w:szCs w:val="24"/>
              </w:rPr>
              <w:t>etter of Intent (LOI)</w:t>
            </w:r>
            <w:r w:rsidRPr="00DE19E1">
              <w:rPr>
                <w:szCs w:val="24"/>
              </w:rPr>
              <w:t xml:space="preserve"> have to identify the cohort members?</w:t>
            </w:r>
          </w:p>
        </w:tc>
        <w:tc>
          <w:tcPr>
            <w:tcW w:w="4788" w:type="dxa"/>
          </w:tcPr>
          <w:p w:rsidR="004E6FE3" w:rsidRDefault="000D0051" w:rsidP="000D0051">
            <w:pPr>
              <w:rPr>
                <w:szCs w:val="24"/>
              </w:rPr>
            </w:pPr>
            <w:r w:rsidRPr="00DE19E1">
              <w:rPr>
                <w:szCs w:val="24"/>
              </w:rPr>
              <w:t xml:space="preserve">Yes. Describe the cohort </w:t>
            </w:r>
            <w:r w:rsidR="004E6FE3">
              <w:rPr>
                <w:szCs w:val="24"/>
              </w:rPr>
              <w:t>in</w:t>
            </w:r>
            <w:r w:rsidRPr="00DE19E1">
              <w:rPr>
                <w:szCs w:val="24"/>
              </w:rPr>
              <w:t xml:space="preserve"> its current state</w:t>
            </w:r>
            <w:r w:rsidR="004E6FE3">
              <w:rPr>
                <w:szCs w:val="24"/>
              </w:rPr>
              <w:t xml:space="preserve"> for LOI. </w:t>
            </w:r>
          </w:p>
          <w:p w:rsidR="004E6FE3" w:rsidRDefault="004E6FE3" w:rsidP="000D0051">
            <w:pPr>
              <w:rPr>
                <w:szCs w:val="24"/>
              </w:rPr>
            </w:pPr>
          </w:p>
          <w:p w:rsidR="004E6FE3" w:rsidRDefault="004E6FE3" w:rsidP="000D0051">
            <w:pPr>
              <w:rPr>
                <w:szCs w:val="24"/>
              </w:rPr>
            </w:pPr>
            <w:r>
              <w:rPr>
                <w:szCs w:val="24"/>
              </w:rPr>
              <w:t xml:space="preserve">Agencies that have not identified cohort members may submit an LOI that describes the type of work they are interested in pursuing.  </w:t>
            </w:r>
          </w:p>
          <w:p w:rsidR="004E6FE3" w:rsidRDefault="004E6FE3" w:rsidP="000D0051">
            <w:pPr>
              <w:rPr>
                <w:szCs w:val="24"/>
              </w:rPr>
            </w:pPr>
          </w:p>
          <w:p w:rsidR="000D0051" w:rsidRPr="000D0051" w:rsidRDefault="004E6FE3" w:rsidP="004E6FE3">
            <w:pPr>
              <w:rPr>
                <w:szCs w:val="24"/>
              </w:rPr>
            </w:pPr>
            <w:r>
              <w:rPr>
                <w:szCs w:val="24"/>
              </w:rPr>
              <w:t xml:space="preserve">The Commission will distribute and post the list of LOI submittals so that agencies interested in the same or similar focus area can be identified and be used to build and strengthen cohorts. </w:t>
            </w:r>
          </w:p>
        </w:tc>
      </w:tr>
      <w:tr w:rsidR="000D0051" w:rsidRPr="004E6FE3" w:rsidTr="000D0051">
        <w:tc>
          <w:tcPr>
            <w:tcW w:w="4788" w:type="dxa"/>
          </w:tcPr>
          <w:p w:rsidR="000D0051" w:rsidRPr="00DE19E1" w:rsidRDefault="000D0051" w:rsidP="000D0051">
            <w:pPr>
              <w:rPr>
                <w:szCs w:val="24"/>
              </w:rPr>
            </w:pPr>
            <w:r w:rsidRPr="00DE19E1">
              <w:rPr>
                <w:szCs w:val="24"/>
              </w:rPr>
              <w:t xml:space="preserve">Will the </w:t>
            </w:r>
            <w:r w:rsidR="006931B2" w:rsidRPr="00DE19E1">
              <w:rPr>
                <w:szCs w:val="24"/>
              </w:rPr>
              <w:t>C</w:t>
            </w:r>
            <w:r w:rsidRPr="00DE19E1">
              <w:rPr>
                <w:szCs w:val="24"/>
              </w:rPr>
              <w:t xml:space="preserve">ommission </w:t>
            </w:r>
            <w:r w:rsidR="006931B2" w:rsidRPr="00DE19E1">
              <w:rPr>
                <w:szCs w:val="24"/>
              </w:rPr>
              <w:t>fund</w:t>
            </w:r>
            <w:r w:rsidRPr="00DE19E1">
              <w:rPr>
                <w:szCs w:val="24"/>
              </w:rPr>
              <w:t xml:space="preserve"> more than one cohort</w:t>
            </w:r>
            <w:r w:rsidR="006931B2" w:rsidRPr="00DE19E1">
              <w:rPr>
                <w:szCs w:val="24"/>
              </w:rPr>
              <w:t xml:space="preserve"> focused </w:t>
            </w:r>
            <w:r w:rsidR="00B4159E">
              <w:rPr>
                <w:szCs w:val="24"/>
              </w:rPr>
              <w:t>on</w:t>
            </w:r>
            <w:r w:rsidR="00B4159E" w:rsidRPr="00DE19E1">
              <w:rPr>
                <w:szCs w:val="24"/>
              </w:rPr>
              <w:t xml:space="preserve"> </w:t>
            </w:r>
            <w:r w:rsidR="006931B2" w:rsidRPr="00DE19E1">
              <w:rPr>
                <w:szCs w:val="24"/>
              </w:rPr>
              <w:t xml:space="preserve">the same </w:t>
            </w:r>
            <w:r w:rsidR="00B4159E">
              <w:rPr>
                <w:szCs w:val="24"/>
              </w:rPr>
              <w:t>priority area?</w:t>
            </w:r>
          </w:p>
          <w:p w:rsidR="000D0051" w:rsidRPr="00DE19E1" w:rsidRDefault="000D0051" w:rsidP="000D0051">
            <w:pPr>
              <w:pStyle w:val="ListParagraph"/>
              <w:rPr>
                <w:rFonts w:ascii="Garamond" w:hAnsi="Garamond"/>
                <w:szCs w:val="24"/>
              </w:rPr>
            </w:pPr>
          </w:p>
          <w:p w:rsidR="000D0051" w:rsidRPr="006931B2" w:rsidRDefault="000D0051" w:rsidP="000D0051">
            <w:pPr>
              <w:rPr>
                <w:szCs w:val="24"/>
              </w:rPr>
            </w:pPr>
          </w:p>
        </w:tc>
        <w:tc>
          <w:tcPr>
            <w:tcW w:w="4788" w:type="dxa"/>
          </w:tcPr>
          <w:p w:rsidR="000D0051" w:rsidRPr="006931B2" w:rsidRDefault="006931B2" w:rsidP="00A31997">
            <w:pPr>
              <w:rPr>
                <w:szCs w:val="24"/>
              </w:rPr>
            </w:pPr>
            <w:r w:rsidRPr="00DE19E1">
              <w:rPr>
                <w:szCs w:val="24"/>
              </w:rPr>
              <w:t>It is possible but unlikely; the Commission staff is making every attempt to increase applicants</w:t>
            </w:r>
            <w:r w:rsidR="00B4159E">
              <w:rPr>
                <w:szCs w:val="24"/>
              </w:rPr>
              <w:t>’</w:t>
            </w:r>
            <w:r w:rsidRPr="00DE19E1">
              <w:rPr>
                <w:szCs w:val="24"/>
              </w:rPr>
              <w:t xml:space="preserve"> understand</w:t>
            </w:r>
            <w:r w:rsidR="00B4159E">
              <w:rPr>
                <w:szCs w:val="24"/>
              </w:rPr>
              <w:t>ing</w:t>
            </w:r>
            <w:r w:rsidRPr="00DE19E1">
              <w:rPr>
                <w:szCs w:val="24"/>
              </w:rPr>
              <w:t xml:space="preserve"> of each other’s potential work through the Letter of Intent. </w:t>
            </w:r>
            <w:r w:rsidR="00B4159E">
              <w:rPr>
                <w:szCs w:val="24"/>
              </w:rPr>
              <w:t>It is</w:t>
            </w:r>
            <w:r w:rsidR="00B4159E" w:rsidRPr="00DE19E1">
              <w:rPr>
                <w:szCs w:val="24"/>
              </w:rPr>
              <w:t xml:space="preserve"> </w:t>
            </w:r>
            <w:r w:rsidRPr="00DE19E1">
              <w:rPr>
                <w:szCs w:val="24"/>
              </w:rPr>
              <w:t xml:space="preserve">possible </w:t>
            </w:r>
            <w:r w:rsidR="00B4159E">
              <w:rPr>
                <w:szCs w:val="24"/>
              </w:rPr>
              <w:t xml:space="preserve">that several </w:t>
            </w:r>
            <w:r w:rsidRPr="00DE19E1">
              <w:rPr>
                <w:szCs w:val="24"/>
              </w:rPr>
              <w:t xml:space="preserve">cohorts </w:t>
            </w:r>
            <w:r w:rsidR="00B4159E">
              <w:rPr>
                <w:szCs w:val="24"/>
              </w:rPr>
              <w:t>may focus</w:t>
            </w:r>
            <w:r w:rsidR="00B4159E" w:rsidRPr="00DE19E1">
              <w:rPr>
                <w:szCs w:val="24"/>
              </w:rPr>
              <w:t xml:space="preserve"> </w:t>
            </w:r>
            <w:r w:rsidRPr="00DE19E1">
              <w:rPr>
                <w:szCs w:val="24"/>
              </w:rPr>
              <w:t xml:space="preserve">on the same priority but have scopes of work targeting different areas of impact. </w:t>
            </w:r>
          </w:p>
        </w:tc>
      </w:tr>
      <w:tr w:rsidR="000D0051" w:rsidRPr="004E6FE3" w:rsidTr="000D0051">
        <w:tc>
          <w:tcPr>
            <w:tcW w:w="4788" w:type="dxa"/>
          </w:tcPr>
          <w:p w:rsidR="000D0051" w:rsidRPr="00DE19E1" w:rsidRDefault="00FB5B95" w:rsidP="000D0051">
            <w:pPr>
              <w:rPr>
                <w:szCs w:val="24"/>
              </w:rPr>
            </w:pPr>
            <w:r>
              <w:rPr>
                <w:szCs w:val="24"/>
              </w:rPr>
              <w:t xml:space="preserve">Does the Commission </w:t>
            </w:r>
            <w:r w:rsidR="00B4159E">
              <w:rPr>
                <w:szCs w:val="24"/>
              </w:rPr>
              <w:t xml:space="preserve">require </w:t>
            </w:r>
            <w:r>
              <w:rPr>
                <w:szCs w:val="24"/>
              </w:rPr>
              <w:t xml:space="preserve">a </w:t>
            </w:r>
            <w:r w:rsidR="000D0051" w:rsidRPr="00DE19E1">
              <w:rPr>
                <w:szCs w:val="24"/>
              </w:rPr>
              <w:t xml:space="preserve">minimum number of agencies to constitute a cohort? </w:t>
            </w:r>
          </w:p>
          <w:p w:rsidR="000D0051" w:rsidRPr="00DE19E1" w:rsidRDefault="000D0051" w:rsidP="000D0051">
            <w:pPr>
              <w:pStyle w:val="ListParagraph"/>
              <w:rPr>
                <w:rFonts w:ascii="Garamond" w:hAnsi="Garamond"/>
                <w:szCs w:val="24"/>
              </w:rPr>
            </w:pPr>
          </w:p>
          <w:p w:rsidR="000D0051" w:rsidRPr="000D0051" w:rsidRDefault="000D0051" w:rsidP="000D0051">
            <w:pPr>
              <w:rPr>
                <w:szCs w:val="24"/>
              </w:rPr>
            </w:pPr>
          </w:p>
        </w:tc>
        <w:tc>
          <w:tcPr>
            <w:tcW w:w="4788" w:type="dxa"/>
          </w:tcPr>
          <w:p w:rsidR="000D0051" w:rsidRPr="000D0051" w:rsidRDefault="000D0051" w:rsidP="00B4159E">
            <w:pPr>
              <w:rPr>
                <w:szCs w:val="24"/>
              </w:rPr>
            </w:pPr>
            <w:r w:rsidRPr="00DE19E1">
              <w:rPr>
                <w:szCs w:val="24"/>
              </w:rPr>
              <w:t>No. A cohort can be any two or more agencies</w:t>
            </w:r>
            <w:r w:rsidR="00FB5B95">
              <w:rPr>
                <w:szCs w:val="24"/>
              </w:rPr>
              <w:t xml:space="preserve">. Cohorts should be formed around the scope of work and </w:t>
            </w:r>
            <w:r w:rsidR="00B4159E">
              <w:rPr>
                <w:szCs w:val="24"/>
              </w:rPr>
              <w:t xml:space="preserve">engage the </w:t>
            </w:r>
            <w:r w:rsidR="00FB5B95">
              <w:rPr>
                <w:szCs w:val="24"/>
              </w:rPr>
              <w:t xml:space="preserve">agencies that would be needed to complete the scope of work proposed in the application. </w:t>
            </w:r>
            <w:r w:rsidRPr="00DE19E1">
              <w:rPr>
                <w:szCs w:val="24"/>
              </w:rPr>
              <w:t xml:space="preserve"> </w:t>
            </w:r>
          </w:p>
        </w:tc>
      </w:tr>
      <w:tr w:rsidR="000D0051" w:rsidRPr="004E6FE3" w:rsidTr="000D0051">
        <w:tc>
          <w:tcPr>
            <w:tcW w:w="4788" w:type="dxa"/>
          </w:tcPr>
          <w:p w:rsidR="000D0051" w:rsidRPr="00DE19E1" w:rsidRDefault="00FB5B95" w:rsidP="00B4159E">
            <w:pPr>
              <w:rPr>
                <w:szCs w:val="24"/>
              </w:rPr>
            </w:pPr>
            <w:r>
              <w:rPr>
                <w:szCs w:val="24"/>
              </w:rPr>
              <w:t xml:space="preserve">Can </w:t>
            </w:r>
            <w:r w:rsidR="00B4159E">
              <w:rPr>
                <w:szCs w:val="24"/>
              </w:rPr>
              <w:t xml:space="preserve">cohort </w:t>
            </w:r>
            <w:r>
              <w:rPr>
                <w:szCs w:val="24"/>
              </w:rPr>
              <w:t xml:space="preserve">members change from the </w:t>
            </w:r>
            <w:r w:rsidR="00B4159E">
              <w:rPr>
                <w:szCs w:val="24"/>
              </w:rPr>
              <w:t xml:space="preserve">original members listed in </w:t>
            </w:r>
            <w:r>
              <w:rPr>
                <w:szCs w:val="24"/>
              </w:rPr>
              <w:t xml:space="preserve">application </w:t>
            </w:r>
            <w:r w:rsidR="00B4159E">
              <w:rPr>
                <w:szCs w:val="24"/>
              </w:rPr>
              <w:t xml:space="preserve">as the scope of work begins to be implemented? </w:t>
            </w:r>
            <w:r>
              <w:rPr>
                <w:szCs w:val="24"/>
              </w:rPr>
              <w:t xml:space="preserve"> </w:t>
            </w:r>
          </w:p>
        </w:tc>
        <w:tc>
          <w:tcPr>
            <w:tcW w:w="4788" w:type="dxa"/>
          </w:tcPr>
          <w:p w:rsidR="000D0051" w:rsidRPr="00DE19E1" w:rsidRDefault="000D0051" w:rsidP="00F37F2A">
            <w:pPr>
              <w:rPr>
                <w:szCs w:val="24"/>
              </w:rPr>
            </w:pPr>
            <w:r w:rsidRPr="00DE19E1">
              <w:rPr>
                <w:szCs w:val="24"/>
              </w:rPr>
              <w:t xml:space="preserve">Yes, </w:t>
            </w:r>
            <w:r w:rsidR="00FB5B95">
              <w:rPr>
                <w:szCs w:val="24"/>
              </w:rPr>
              <w:t>the cohort can change. As</w:t>
            </w:r>
            <w:r w:rsidRPr="00DE19E1">
              <w:rPr>
                <w:szCs w:val="24"/>
              </w:rPr>
              <w:t xml:space="preserve"> part of the process and </w:t>
            </w:r>
            <w:r w:rsidR="00557442">
              <w:rPr>
                <w:szCs w:val="24"/>
              </w:rPr>
              <w:t xml:space="preserve">as </w:t>
            </w:r>
            <w:r w:rsidRPr="00DE19E1">
              <w:rPr>
                <w:szCs w:val="24"/>
              </w:rPr>
              <w:t xml:space="preserve">one of the stages, </w:t>
            </w:r>
            <w:r w:rsidR="00FB5B95">
              <w:rPr>
                <w:szCs w:val="24"/>
              </w:rPr>
              <w:t xml:space="preserve">cohorts will be expected to </w:t>
            </w:r>
            <w:r w:rsidRPr="00DE19E1">
              <w:rPr>
                <w:szCs w:val="24"/>
              </w:rPr>
              <w:t xml:space="preserve">discuss </w:t>
            </w:r>
            <w:r w:rsidR="00FB5B95">
              <w:rPr>
                <w:szCs w:val="24"/>
              </w:rPr>
              <w:t>wh</w:t>
            </w:r>
            <w:r w:rsidR="00557442">
              <w:rPr>
                <w:szCs w:val="24"/>
              </w:rPr>
              <w:t xml:space="preserve">ether they require </w:t>
            </w:r>
            <w:r w:rsidR="00FB5B95">
              <w:rPr>
                <w:szCs w:val="24"/>
              </w:rPr>
              <w:t xml:space="preserve">other </w:t>
            </w:r>
            <w:r w:rsidR="00557442">
              <w:rPr>
                <w:szCs w:val="24"/>
              </w:rPr>
              <w:t>agencies</w:t>
            </w:r>
            <w:r w:rsidR="00F37F2A">
              <w:rPr>
                <w:szCs w:val="24"/>
              </w:rPr>
              <w:t>’</w:t>
            </w:r>
            <w:r w:rsidR="00557442">
              <w:rPr>
                <w:szCs w:val="24"/>
              </w:rPr>
              <w:t xml:space="preserve"> </w:t>
            </w:r>
            <w:r w:rsidR="00FB5B95">
              <w:rPr>
                <w:szCs w:val="24"/>
              </w:rPr>
              <w:t>participati</w:t>
            </w:r>
            <w:r w:rsidR="00557442">
              <w:rPr>
                <w:szCs w:val="24"/>
              </w:rPr>
              <w:t>o</w:t>
            </w:r>
            <w:r w:rsidR="00FB5B95">
              <w:rPr>
                <w:szCs w:val="24"/>
              </w:rPr>
              <w:t xml:space="preserve">n to ensure the greatest impact </w:t>
            </w:r>
            <w:r w:rsidR="00F37F2A">
              <w:rPr>
                <w:szCs w:val="24"/>
              </w:rPr>
              <w:t xml:space="preserve">on </w:t>
            </w:r>
            <w:r w:rsidR="00FB5B95">
              <w:rPr>
                <w:szCs w:val="24"/>
              </w:rPr>
              <w:t xml:space="preserve">the capacity building </w:t>
            </w:r>
            <w:r w:rsidR="00F37F2A">
              <w:rPr>
                <w:szCs w:val="24"/>
              </w:rPr>
              <w:t>effort</w:t>
            </w:r>
            <w:r w:rsidR="00FB5B95">
              <w:rPr>
                <w:szCs w:val="24"/>
              </w:rPr>
              <w:t>.</w:t>
            </w:r>
            <w:r w:rsidRPr="00DE19E1">
              <w:rPr>
                <w:szCs w:val="24"/>
              </w:rPr>
              <w:t xml:space="preserve"> </w:t>
            </w:r>
          </w:p>
        </w:tc>
      </w:tr>
      <w:tr w:rsidR="000D0051" w:rsidRPr="004E6FE3" w:rsidTr="000D0051">
        <w:tc>
          <w:tcPr>
            <w:tcW w:w="4788" w:type="dxa"/>
          </w:tcPr>
          <w:p w:rsidR="000D0051" w:rsidRPr="00DE19E1" w:rsidRDefault="00557442" w:rsidP="000D0051">
            <w:pPr>
              <w:rPr>
                <w:szCs w:val="24"/>
              </w:rPr>
            </w:pPr>
            <w:r>
              <w:rPr>
                <w:szCs w:val="24"/>
              </w:rPr>
              <w:t xml:space="preserve">Cohort members that are government </w:t>
            </w:r>
            <w:r w:rsidR="000D0051" w:rsidRPr="00DE19E1">
              <w:rPr>
                <w:szCs w:val="24"/>
              </w:rPr>
              <w:t xml:space="preserve">entities </w:t>
            </w:r>
            <w:r>
              <w:rPr>
                <w:szCs w:val="24"/>
              </w:rPr>
              <w:lastRenderedPageBreak/>
              <w:t>may not be able to participate due to staff time and cost restraints</w:t>
            </w:r>
            <w:r w:rsidR="00F37F2A">
              <w:rPr>
                <w:szCs w:val="24"/>
              </w:rPr>
              <w:t>;</w:t>
            </w:r>
            <w:r>
              <w:rPr>
                <w:szCs w:val="24"/>
              </w:rPr>
              <w:t xml:space="preserve"> how should we include them in the proposal</w:t>
            </w:r>
            <w:r w:rsidR="000D0051" w:rsidRPr="00DE19E1">
              <w:rPr>
                <w:szCs w:val="24"/>
              </w:rPr>
              <w:t xml:space="preserve">? </w:t>
            </w:r>
          </w:p>
          <w:p w:rsidR="000D0051" w:rsidRPr="00DE19E1" w:rsidRDefault="000D0051" w:rsidP="000D0051">
            <w:pPr>
              <w:pStyle w:val="ListParagraph"/>
              <w:ind w:left="360"/>
              <w:rPr>
                <w:rFonts w:ascii="Garamond" w:hAnsi="Garamond"/>
                <w:szCs w:val="24"/>
              </w:rPr>
            </w:pPr>
          </w:p>
        </w:tc>
        <w:tc>
          <w:tcPr>
            <w:tcW w:w="4788" w:type="dxa"/>
          </w:tcPr>
          <w:p w:rsidR="000D0051" w:rsidRPr="00DE19E1" w:rsidRDefault="000D0051" w:rsidP="00DD791D">
            <w:pPr>
              <w:rPr>
                <w:szCs w:val="24"/>
              </w:rPr>
            </w:pPr>
            <w:r w:rsidRPr="00DE19E1">
              <w:rPr>
                <w:szCs w:val="24"/>
              </w:rPr>
              <w:lastRenderedPageBreak/>
              <w:t>Yes, acknowledge</w:t>
            </w:r>
            <w:r w:rsidR="00DD791D">
              <w:rPr>
                <w:szCs w:val="24"/>
              </w:rPr>
              <w:t xml:space="preserve"> all of the cohorts formal and </w:t>
            </w:r>
            <w:r w:rsidR="00DD791D">
              <w:rPr>
                <w:szCs w:val="24"/>
              </w:rPr>
              <w:lastRenderedPageBreak/>
              <w:t>potential partners in the application. Applications can discuss agencies that are interested in the work but are not formally included in the application documents. Constraints for agency participation should be noted in the application and</w:t>
            </w:r>
            <w:r w:rsidR="00A31997">
              <w:rPr>
                <w:szCs w:val="24"/>
              </w:rPr>
              <w:t>,</w:t>
            </w:r>
            <w:r w:rsidR="00DD791D">
              <w:rPr>
                <w:szCs w:val="24"/>
              </w:rPr>
              <w:t xml:space="preserve"> if application is selected</w:t>
            </w:r>
            <w:r w:rsidR="00A31997">
              <w:rPr>
                <w:szCs w:val="24"/>
              </w:rPr>
              <w:t>,</w:t>
            </w:r>
            <w:r w:rsidR="00DD791D">
              <w:rPr>
                <w:szCs w:val="24"/>
              </w:rPr>
              <w:t xml:space="preserve"> continued discussion regarding the participation of these agencies will be include.</w:t>
            </w:r>
          </w:p>
        </w:tc>
      </w:tr>
    </w:tbl>
    <w:p w:rsidR="000D0051" w:rsidRPr="004E6FE3" w:rsidRDefault="000D0051" w:rsidP="000D0051">
      <w:pPr>
        <w:rPr>
          <w:szCs w:val="24"/>
        </w:rPr>
      </w:pPr>
    </w:p>
    <w:p w:rsidR="000D0051" w:rsidRPr="004E6FE3" w:rsidRDefault="000D0051" w:rsidP="000D0051">
      <w:pPr>
        <w:rPr>
          <w:szCs w:val="24"/>
        </w:rPr>
      </w:pPr>
    </w:p>
    <w:p w:rsidR="000D0051" w:rsidRPr="004E6FE3" w:rsidRDefault="000D0051" w:rsidP="000D0051">
      <w:pPr>
        <w:rPr>
          <w:szCs w:val="24"/>
        </w:rPr>
      </w:pPr>
    </w:p>
    <w:tbl>
      <w:tblPr>
        <w:tblStyle w:val="TableGrid"/>
        <w:tblW w:w="0" w:type="auto"/>
        <w:tblLook w:val="04A0" w:firstRow="1" w:lastRow="0" w:firstColumn="1" w:lastColumn="0" w:noHBand="0" w:noVBand="1"/>
      </w:tblPr>
      <w:tblGrid>
        <w:gridCol w:w="4788"/>
        <w:gridCol w:w="4788"/>
      </w:tblGrid>
      <w:tr w:rsidR="000D0051" w:rsidRPr="004E6FE3" w:rsidTr="000D0051">
        <w:tc>
          <w:tcPr>
            <w:tcW w:w="9576" w:type="dxa"/>
            <w:gridSpan w:val="2"/>
            <w:shd w:val="clear" w:color="auto" w:fill="BFBFBF" w:themeFill="background1" w:themeFillShade="BF"/>
          </w:tcPr>
          <w:p w:rsidR="000D0051" w:rsidRPr="004E6FE3" w:rsidRDefault="000D0051" w:rsidP="000D0051">
            <w:pPr>
              <w:jc w:val="center"/>
              <w:rPr>
                <w:b/>
                <w:szCs w:val="24"/>
              </w:rPr>
            </w:pPr>
            <w:r w:rsidRPr="004E6FE3">
              <w:rPr>
                <w:b/>
                <w:szCs w:val="24"/>
              </w:rPr>
              <w:t>LEAD AND FISCAL AGENCY</w:t>
            </w:r>
          </w:p>
        </w:tc>
      </w:tr>
      <w:tr w:rsidR="000D0051" w:rsidRPr="004E6FE3" w:rsidTr="000D0051">
        <w:tc>
          <w:tcPr>
            <w:tcW w:w="4788" w:type="dxa"/>
            <w:shd w:val="clear" w:color="auto" w:fill="F2F2F2" w:themeFill="background1" w:themeFillShade="F2"/>
          </w:tcPr>
          <w:p w:rsidR="000D0051" w:rsidRPr="004E6FE3" w:rsidRDefault="000D0051" w:rsidP="000D0051">
            <w:pPr>
              <w:jc w:val="center"/>
              <w:rPr>
                <w:b/>
                <w:szCs w:val="24"/>
              </w:rPr>
            </w:pPr>
            <w:r w:rsidRPr="004E6FE3">
              <w:rPr>
                <w:b/>
                <w:szCs w:val="24"/>
              </w:rPr>
              <w:t>QUESTION</w:t>
            </w:r>
          </w:p>
        </w:tc>
        <w:tc>
          <w:tcPr>
            <w:tcW w:w="4788" w:type="dxa"/>
            <w:shd w:val="clear" w:color="auto" w:fill="F2F2F2" w:themeFill="background1" w:themeFillShade="F2"/>
          </w:tcPr>
          <w:p w:rsidR="000D0051" w:rsidRPr="004E6FE3" w:rsidRDefault="000D0051" w:rsidP="000D0051">
            <w:pPr>
              <w:jc w:val="center"/>
              <w:rPr>
                <w:b/>
                <w:szCs w:val="24"/>
              </w:rPr>
            </w:pPr>
            <w:r w:rsidRPr="004E6FE3">
              <w:rPr>
                <w:b/>
                <w:szCs w:val="24"/>
              </w:rPr>
              <w:t>ANSWER</w:t>
            </w:r>
          </w:p>
        </w:tc>
      </w:tr>
      <w:tr w:rsidR="000D0051" w:rsidRPr="004E6FE3" w:rsidTr="000D0051">
        <w:tc>
          <w:tcPr>
            <w:tcW w:w="4788" w:type="dxa"/>
          </w:tcPr>
          <w:p w:rsidR="000D0051" w:rsidRPr="000D0051" w:rsidRDefault="000D0051" w:rsidP="000D0051">
            <w:pPr>
              <w:rPr>
                <w:szCs w:val="24"/>
              </w:rPr>
            </w:pPr>
            <w:r w:rsidRPr="00DE19E1">
              <w:rPr>
                <w:szCs w:val="24"/>
              </w:rPr>
              <w:t xml:space="preserve">Can one fiscal agent </w:t>
            </w:r>
            <w:r w:rsidR="005D52EB">
              <w:rPr>
                <w:szCs w:val="24"/>
              </w:rPr>
              <w:t>be included in multiple applications</w:t>
            </w:r>
            <w:r w:rsidRPr="00DE19E1">
              <w:rPr>
                <w:szCs w:val="24"/>
              </w:rPr>
              <w:t>?</w:t>
            </w:r>
          </w:p>
        </w:tc>
        <w:tc>
          <w:tcPr>
            <w:tcW w:w="4788" w:type="dxa"/>
          </w:tcPr>
          <w:p w:rsidR="000D0051" w:rsidRPr="00DE19E1" w:rsidRDefault="000D0051" w:rsidP="000D0051">
            <w:pPr>
              <w:rPr>
                <w:szCs w:val="24"/>
              </w:rPr>
            </w:pPr>
            <w:r w:rsidRPr="00DE19E1">
              <w:rPr>
                <w:szCs w:val="24"/>
              </w:rPr>
              <w:t>Yes</w:t>
            </w:r>
            <w:r w:rsidR="005D52EB">
              <w:rPr>
                <w:szCs w:val="24"/>
              </w:rPr>
              <w:t>, t</w:t>
            </w:r>
            <w:r w:rsidRPr="00DE19E1">
              <w:rPr>
                <w:szCs w:val="24"/>
              </w:rPr>
              <w:t>here is no limitation</w:t>
            </w:r>
            <w:r w:rsidR="005D52EB">
              <w:rPr>
                <w:szCs w:val="24"/>
              </w:rPr>
              <w:t xml:space="preserve"> on the number of applications </w:t>
            </w:r>
            <w:r w:rsidR="00A31997">
              <w:rPr>
                <w:szCs w:val="24"/>
              </w:rPr>
              <w:t xml:space="preserve">in which </w:t>
            </w:r>
            <w:r w:rsidR="005D52EB">
              <w:rPr>
                <w:szCs w:val="24"/>
              </w:rPr>
              <w:t>an agency can participate</w:t>
            </w:r>
            <w:r w:rsidRPr="00DE19E1">
              <w:rPr>
                <w:szCs w:val="24"/>
              </w:rPr>
              <w:t xml:space="preserve">. </w:t>
            </w:r>
          </w:p>
          <w:p w:rsidR="000D0051" w:rsidRPr="000D0051" w:rsidRDefault="000D0051" w:rsidP="000D0051">
            <w:pPr>
              <w:rPr>
                <w:szCs w:val="24"/>
              </w:rPr>
            </w:pPr>
          </w:p>
        </w:tc>
      </w:tr>
      <w:tr w:rsidR="000D0051" w:rsidRPr="004E6FE3" w:rsidTr="000D0051">
        <w:tc>
          <w:tcPr>
            <w:tcW w:w="4788" w:type="dxa"/>
          </w:tcPr>
          <w:p w:rsidR="000D0051" w:rsidRPr="00DE19E1" w:rsidRDefault="000D0051" w:rsidP="000D0051">
            <w:pPr>
              <w:rPr>
                <w:szCs w:val="24"/>
              </w:rPr>
            </w:pPr>
            <w:r w:rsidRPr="00DE19E1">
              <w:rPr>
                <w:szCs w:val="24"/>
              </w:rPr>
              <w:t>Can an agency representing a collaborative apply as the lead agency</w:t>
            </w:r>
            <w:r w:rsidR="005D52EB">
              <w:rPr>
                <w:szCs w:val="24"/>
              </w:rPr>
              <w:t xml:space="preserve"> for that collaborative or cohort</w:t>
            </w:r>
            <w:r w:rsidRPr="00DE19E1">
              <w:rPr>
                <w:szCs w:val="24"/>
              </w:rPr>
              <w:t xml:space="preserve">? </w:t>
            </w:r>
          </w:p>
          <w:p w:rsidR="000D0051" w:rsidRPr="000D0051" w:rsidRDefault="000D0051" w:rsidP="000D0051">
            <w:pPr>
              <w:rPr>
                <w:szCs w:val="24"/>
              </w:rPr>
            </w:pPr>
          </w:p>
        </w:tc>
        <w:tc>
          <w:tcPr>
            <w:tcW w:w="4788" w:type="dxa"/>
          </w:tcPr>
          <w:p w:rsidR="000D0051" w:rsidRPr="00DE19E1" w:rsidRDefault="000D0051" w:rsidP="000D0051">
            <w:pPr>
              <w:rPr>
                <w:szCs w:val="24"/>
              </w:rPr>
            </w:pPr>
            <w:r w:rsidRPr="00DE19E1">
              <w:rPr>
                <w:szCs w:val="24"/>
              </w:rPr>
              <w:t xml:space="preserve">Yes, but </w:t>
            </w:r>
            <w:r w:rsidR="005D52EB">
              <w:rPr>
                <w:szCs w:val="24"/>
              </w:rPr>
              <w:t xml:space="preserve">the application should include a </w:t>
            </w:r>
            <w:r w:rsidR="005D52EB" w:rsidRPr="00DE19E1">
              <w:rPr>
                <w:i/>
                <w:szCs w:val="24"/>
              </w:rPr>
              <w:t>Member Profile and Contribution</w:t>
            </w:r>
            <w:r w:rsidR="005D52EB">
              <w:rPr>
                <w:szCs w:val="24"/>
              </w:rPr>
              <w:t xml:space="preserve"> form for each of the agencies in the collaboration that will be participating.</w:t>
            </w:r>
          </w:p>
          <w:p w:rsidR="000D0051" w:rsidRPr="00DE19E1" w:rsidRDefault="000D0051" w:rsidP="000D0051">
            <w:pPr>
              <w:rPr>
                <w:szCs w:val="24"/>
              </w:rPr>
            </w:pPr>
          </w:p>
          <w:p w:rsidR="000D0051" w:rsidRPr="000D0051" w:rsidRDefault="000D0051" w:rsidP="000D0051">
            <w:pPr>
              <w:rPr>
                <w:szCs w:val="24"/>
              </w:rPr>
            </w:pPr>
          </w:p>
        </w:tc>
      </w:tr>
      <w:tr w:rsidR="000D0051" w:rsidRPr="004E6FE3" w:rsidTr="000D0051">
        <w:tc>
          <w:tcPr>
            <w:tcW w:w="4788" w:type="dxa"/>
          </w:tcPr>
          <w:p w:rsidR="000D0051" w:rsidRPr="00DE19E1" w:rsidRDefault="000D0051" w:rsidP="000D0051">
            <w:pPr>
              <w:rPr>
                <w:szCs w:val="24"/>
              </w:rPr>
            </w:pPr>
            <w:r w:rsidRPr="00DE19E1">
              <w:rPr>
                <w:szCs w:val="24"/>
              </w:rPr>
              <w:t xml:space="preserve">If my organization </w:t>
            </w:r>
            <w:r w:rsidR="00F37F2A">
              <w:rPr>
                <w:szCs w:val="24"/>
              </w:rPr>
              <w:t xml:space="preserve">is </w:t>
            </w:r>
            <w:r w:rsidRPr="00DE19E1">
              <w:rPr>
                <w:szCs w:val="24"/>
              </w:rPr>
              <w:t xml:space="preserve">currently receiving funding for same type of work from other sources, can we apply here? </w:t>
            </w:r>
          </w:p>
          <w:p w:rsidR="000D0051" w:rsidRPr="00DE19E1" w:rsidRDefault="000D0051" w:rsidP="000D0051">
            <w:pPr>
              <w:rPr>
                <w:szCs w:val="24"/>
              </w:rPr>
            </w:pPr>
          </w:p>
          <w:p w:rsidR="000D0051" w:rsidRPr="000D0051" w:rsidRDefault="000D0051" w:rsidP="000D0051">
            <w:pPr>
              <w:rPr>
                <w:szCs w:val="24"/>
              </w:rPr>
            </w:pPr>
          </w:p>
        </w:tc>
        <w:tc>
          <w:tcPr>
            <w:tcW w:w="4788" w:type="dxa"/>
          </w:tcPr>
          <w:p w:rsidR="000D0051" w:rsidRPr="004E6FE3" w:rsidRDefault="000D0051" w:rsidP="000D0051">
            <w:pPr>
              <w:rPr>
                <w:szCs w:val="24"/>
              </w:rPr>
            </w:pPr>
            <w:r w:rsidRPr="004E6FE3">
              <w:rPr>
                <w:szCs w:val="24"/>
              </w:rPr>
              <w:t>Yes</w:t>
            </w:r>
            <w:r w:rsidR="005D52EB">
              <w:rPr>
                <w:szCs w:val="24"/>
              </w:rPr>
              <w:t>, agencies may leverage existing resources to enhance this work and the work or other grant funding. The Commission cannot supplant any existing work</w:t>
            </w:r>
            <w:r w:rsidR="00A31997">
              <w:rPr>
                <w:szCs w:val="24"/>
              </w:rPr>
              <w:t xml:space="preserve"> and funding</w:t>
            </w:r>
            <w:r w:rsidR="005D52EB">
              <w:rPr>
                <w:szCs w:val="24"/>
              </w:rPr>
              <w:t xml:space="preserve"> but this work can be additive to existing work. </w:t>
            </w:r>
          </w:p>
        </w:tc>
      </w:tr>
      <w:tr w:rsidR="000D0051" w:rsidRPr="004E6FE3" w:rsidTr="000D0051">
        <w:tc>
          <w:tcPr>
            <w:tcW w:w="4788" w:type="dxa"/>
          </w:tcPr>
          <w:p w:rsidR="000D0051" w:rsidRPr="00DE19E1" w:rsidRDefault="000D0051" w:rsidP="000D0051">
            <w:pPr>
              <w:rPr>
                <w:szCs w:val="24"/>
              </w:rPr>
            </w:pPr>
            <w:r w:rsidRPr="00DE19E1">
              <w:rPr>
                <w:szCs w:val="24"/>
              </w:rPr>
              <w:t>Our organization represents a technical assistance capacity build</w:t>
            </w:r>
            <w:r w:rsidR="006C2F95">
              <w:rPr>
                <w:szCs w:val="24"/>
              </w:rPr>
              <w:t>ing</w:t>
            </w:r>
            <w:r w:rsidRPr="00DE19E1">
              <w:rPr>
                <w:szCs w:val="24"/>
              </w:rPr>
              <w:t xml:space="preserve"> agency and we are interested in providing support to groups</w:t>
            </w:r>
            <w:proofErr w:type="gramStart"/>
            <w:r w:rsidR="006C2F95">
              <w:rPr>
                <w:szCs w:val="24"/>
              </w:rPr>
              <w:t>;</w:t>
            </w:r>
            <w:r w:rsidRPr="00DE19E1">
              <w:rPr>
                <w:szCs w:val="24"/>
              </w:rPr>
              <w:t xml:space="preserve">  </w:t>
            </w:r>
            <w:r w:rsidR="006C2F95">
              <w:rPr>
                <w:szCs w:val="24"/>
              </w:rPr>
              <w:t>c</w:t>
            </w:r>
            <w:r w:rsidRPr="00DE19E1">
              <w:rPr>
                <w:szCs w:val="24"/>
              </w:rPr>
              <w:t>ould</w:t>
            </w:r>
            <w:proofErr w:type="gramEnd"/>
            <w:r w:rsidRPr="00DE19E1">
              <w:rPr>
                <w:szCs w:val="24"/>
              </w:rPr>
              <w:t xml:space="preserve">  </w:t>
            </w:r>
            <w:r w:rsidR="006C2F95">
              <w:rPr>
                <w:szCs w:val="24"/>
              </w:rPr>
              <w:t>we  serve</w:t>
            </w:r>
            <w:r w:rsidRPr="00DE19E1">
              <w:rPr>
                <w:szCs w:val="24"/>
              </w:rPr>
              <w:t xml:space="preserve"> as </w:t>
            </w:r>
            <w:r w:rsidR="006C2F95">
              <w:rPr>
                <w:szCs w:val="24"/>
              </w:rPr>
              <w:t xml:space="preserve">the </w:t>
            </w:r>
            <w:r w:rsidRPr="00DE19E1">
              <w:rPr>
                <w:szCs w:val="24"/>
              </w:rPr>
              <w:t xml:space="preserve">lead agency ? </w:t>
            </w:r>
          </w:p>
          <w:p w:rsidR="000D0051" w:rsidRPr="000D0051" w:rsidRDefault="000D0051" w:rsidP="000D0051">
            <w:pPr>
              <w:rPr>
                <w:szCs w:val="24"/>
              </w:rPr>
            </w:pPr>
          </w:p>
        </w:tc>
        <w:tc>
          <w:tcPr>
            <w:tcW w:w="4788" w:type="dxa"/>
          </w:tcPr>
          <w:p w:rsidR="00323859" w:rsidRDefault="006C2F95" w:rsidP="00A31997">
            <w:pPr>
              <w:rPr>
                <w:szCs w:val="24"/>
              </w:rPr>
            </w:pPr>
            <w:r>
              <w:rPr>
                <w:szCs w:val="24"/>
              </w:rPr>
              <w:t xml:space="preserve">Yes, a capacity agency could be a lead agency but the narrative would need to define roles and long term outcomes. </w:t>
            </w:r>
            <w:r w:rsidR="00A31997">
              <w:rPr>
                <w:szCs w:val="24"/>
              </w:rPr>
              <w:t>B</w:t>
            </w:r>
            <w:r w:rsidR="00F37F2A">
              <w:rPr>
                <w:szCs w:val="24"/>
              </w:rPr>
              <w:t>e</w:t>
            </w:r>
            <w:r w:rsidR="000D0051" w:rsidRPr="00DE19E1">
              <w:rPr>
                <w:szCs w:val="24"/>
              </w:rPr>
              <w:t xml:space="preserve"> sensitive on </w:t>
            </w:r>
            <w:r w:rsidR="00F37F2A">
              <w:rPr>
                <w:szCs w:val="24"/>
              </w:rPr>
              <w:t>the</w:t>
            </w:r>
            <w:r w:rsidR="00F37F2A" w:rsidRPr="00DE19E1">
              <w:rPr>
                <w:szCs w:val="24"/>
              </w:rPr>
              <w:t xml:space="preserve"> </w:t>
            </w:r>
            <w:r w:rsidR="003A75DD">
              <w:rPr>
                <w:szCs w:val="24"/>
              </w:rPr>
              <w:t>issue of project s</w:t>
            </w:r>
            <w:r w:rsidR="000D0051" w:rsidRPr="00DE19E1">
              <w:rPr>
                <w:szCs w:val="24"/>
              </w:rPr>
              <w:t xml:space="preserve">ustainability. </w:t>
            </w:r>
            <w:r w:rsidR="003A75DD">
              <w:rPr>
                <w:szCs w:val="24"/>
              </w:rPr>
              <w:t>The question that would be raised is</w:t>
            </w:r>
            <w:proofErr w:type="gramStart"/>
            <w:r w:rsidR="003A75DD">
              <w:rPr>
                <w:szCs w:val="24"/>
              </w:rPr>
              <w:t>,</w:t>
            </w:r>
            <w:proofErr w:type="gramEnd"/>
            <w:r w:rsidR="003A75DD">
              <w:rPr>
                <w:szCs w:val="24"/>
              </w:rPr>
              <w:t xml:space="preserve"> would a technical assistance provider be a long-term partner in the cohort? </w:t>
            </w:r>
          </w:p>
        </w:tc>
      </w:tr>
    </w:tbl>
    <w:p w:rsidR="000D0051" w:rsidRDefault="000D0051" w:rsidP="000D0051">
      <w:pPr>
        <w:rPr>
          <w:szCs w:val="24"/>
        </w:rPr>
      </w:pPr>
    </w:p>
    <w:p w:rsidR="000009E4" w:rsidRDefault="000009E4" w:rsidP="000D0051">
      <w:pPr>
        <w:rPr>
          <w:szCs w:val="24"/>
        </w:rPr>
      </w:pPr>
    </w:p>
    <w:p w:rsidR="000009E4" w:rsidRPr="004E6FE3" w:rsidRDefault="000009E4" w:rsidP="000D0051">
      <w:pPr>
        <w:rPr>
          <w:szCs w:val="24"/>
        </w:rPr>
      </w:pPr>
    </w:p>
    <w:tbl>
      <w:tblPr>
        <w:tblStyle w:val="TableGrid"/>
        <w:tblW w:w="0" w:type="auto"/>
        <w:tblLook w:val="04A0" w:firstRow="1" w:lastRow="0" w:firstColumn="1" w:lastColumn="0" w:noHBand="0" w:noVBand="1"/>
      </w:tblPr>
      <w:tblGrid>
        <w:gridCol w:w="4788"/>
        <w:gridCol w:w="4788"/>
      </w:tblGrid>
      <w:tr w:rsidR="000D0051" w:rsidRPr="004E6FE3" w:rsidTr="000D0051">
        <w:tc>
          <w:tcPr>
            <w:tcW w:w="9576" w:type="dxa"/>
            <w:gridSpan w:val="2"/>
            <w:shd w:val="clear" w:color="auto" w:fill="BFBFBF" w:themeFill="background1" w:themeFillShade="BF"/>
          </w:tcPr>
          <w:p w:rsidR="000D0051" w:rsidRPr="004E6FE3" w:rsidRDefault="000D0051" w:rsidP="000D0051">
            <w:pPr>
              <w:jc w:val="center"/>
              <w:rPr>
                <w:b/>
                <w:szCs w:val="24"/>
              </w:rPr>
            </w:pPr>
            <w:r w:rsidRPr="004E6FE3">
              <w:rPr>
                <w:b/>
                <w:szCs w:val="24"/>
              </w:rPr>
              <w:t>GENERAL QUESTIONS</w:t>
            </w:r>
          </w:p>
        </w:tc>
      </w:tr>
      <w:tr w:rsidR="000D0051" w:rsidRPr="004E6FE3" w:rsidTr="000D0051">
        <w:tc>
          <w:tcPr>
            <w:tcW w:w="4788" w:type="dxa"/>
            <w:shd w:val="clear" w:color="auto" w:fill="F2F2F2" w:themeFill="background1" w:themeFillShade="F2"/>
          </w:tcPr>
          <w:p w:rsidR="000D0051" w:rsidRPr="004E6FE3" w:rsidRDefault="000D0051" w:rsidP="000D0051">
            <w:pPr>
              <w:jc w:val="center"/>
              <w:rPr>
                <w:b/>
                <w:szCs w:val="24"/>
              </w:rPr>
            </w:pPr>
            <w:r w:rsidRPr="004E6FE3">
              <w:rPr>
                <w:b/>
                <w:szCs w:val="24"/>
              </w:rPr>
              <w:t>QUESTION</w:t>
            </w:r>
          </w:p>
        </w:tc>
        <w:tc>
          <w:tcPr>
            <w:tcW w:w="4788" w:type="dxa"/>
            <w:shd w:val="clear" w:color="auto" w:fill="F2F2F2" w:themeFill="background1" w:themeFillShade="F2"/>
          </w:tcPr>
          <w:p w:rsidR="000D0051" w:rsidRPr="004E6FE3" w:rsidRDefault="000D0051" w:rsidP="000D0051">
            <w:pPr>
              <w:jc w:val="center"/>
              <w:rPr>
                <w:b/>
                <w:szCs w:val="24"/>
              </w:rPr>
            </w:pPr>
            <w:r w:rsidRPr="004E6FE3">
              <w:rPr>
                <w:b/>
                <w:szCs w:val="24"/>
              </w:rPr>
              <w:t>ANSWER</w:t>
            </w:r>
          </w:p>
        </w:tc>
      </w:tr>
      <w:tr w:rsidR="000D0051" w:rsidRPr="004E6FE3" w:rsidTr="000D0051">
        <w:tc>
          <w:tcPr>
            <w:tcW w:w="4788" w:type="dxa"/>
          </w:tcPr>
          <w:p w:rsidR="000D0051" w:rsidRPr="00DE19E1" w:rsidRDefault="000D0051" w:rsidP="000D0051">
            <w:pPr>
              <w:rPr>
                <w:szCs w:val="24"/>
              </w:rPr>
            </w:pPr>
            <w:r w:rsidRPr="00DE19E1">
              <w:rPr>
                <w:szCs w:val="24"/>
              </w:rPr>
              <w:t>Do</w:t>
            </w:r>
            <w:r w:rsidR="006931B2">
              <w:rPr>
                <w:szCs w:val="24"/>
              </w:rPr>
              <w:t xml:space="preserve">es a cohort </w:t>
            </w:r>
            <w:r w:rsidRPr="00DE19E1">
              <w:rPr>
                <w:szCs w:val="24"/>
              </w:rPr>
              <w:t>have to be at a particular stage</w:t>
            </w:r>
            <w:r w:rsidR="003A75DD">
              <w:rPr>
                <w:szCs w:val="24"/>
              </w:rPr>
              <w:t xml:space="preserve"> of readiness</w:t>
            </w:r>
            <w:r w:rsidRPr="00DE19E1">
              <w:rPr>
                <w:szCs w:val="24"/>
              </w:rPr>
              <w:t xml:space="preserve"> to apply?</w:t>
            </w:r>
          </w:p>
          <w:p w:rsidR="000D0051" w:rsidRPr="000D0051" w:rsidRDefault="000D0051" w:rsidP="000D0051">
            <w:pPr>
              <w:rPr>
                <w:szCs w:val="24"/>
              </w:rPr>
            </w:pPr>
          </w:p>
        </w:tc>
        <w:tc>
          <w:tcPr>
            <w:tcW w:w="4788" w:type="dxa"/>
          </w:tcPr>
          <w:p w:rsidR="000D0051" w:rsidRPr="00DE19E1" w:rsidRDefault="006931B2" w:rsidP="000D0051">
            <w:pPr>
              <w:rPr>
                <w:szCs w:val="24"/>
              </w:rPr>
            </w:pPr>
            <w:r>
              <w:rPr>
                <w:szCs w:val="24"/>
              </w:rPr>
              <w:t>No, cohorts are not required to be a particular stage of r</w:t>
            </w:r>
            <w:r w:rsidR="000D0051" w:rsidRPr="00DE19E1">
              <w:rPr>
                <w:szCs w:val="24"/>
              </w:rPr>
              <w:t xml:space="preserve">eadiness </w:t>
            </w:r>
            <w:r>
              <w:rPr>
                <w:szCs w:val="24"/>
              </w:rPr>
              <w:t xml:space="preserve">in order to </w:t>
            </w:r>
            <w:r w:rsidR="000D0051" w:rsidRPr="00DE19E1">
              <w:rPr>
                <w:szCs w:val="24"/>
              </w:rPr>
              <w:t xml:space="preserve">apply. </w:t>
            </w:r>
          </w:p>
          <w:p w:rsidR="000D0051" w:rsidRPr="000D0051" w:rsidRDefault="000D0051" w:rsidP="000D0051">
            <w:pPr>
              <w:rPr>
                <w:szCs w:val="24"/>
              </w:rPr>
            </w:pPr>
          </w:p>
        </w:tc>
      </w:tr>
      <w:tr w:rsidR="000D0051" w:rsidRPr="004E6FE3" w:rsidTr="000D0051">
        <w:tc>
          <w:tcPr>
            <w:tcW w:w="4788" w:type="dxa"/>
          </w:tcPr>
          <w:p w:rsidR="000D0051" w:rsidRPr="000D0051" w:rsidRDefault="000D0051" w:rsidP="006931B2">
            <w:pPr>
              <w:rPr>
                <w:szCs w:val="24"/>
              </w:rPr>
            </w:pPr>
            <w:r w:rsidRPr="00DE19E1">
              <w:rPr>
                <w:szCs w:val="24"/>
              </w:rPr>
              <w:t xml:space="preserve">What is the definition of region?  </w:t>
            </w:r>
          </w:p>
        </w:tc>
        <w:tc>
          <w:tcPr>
            <w:tcW w:w="4788" w:type="dxa"/>
          </w:tcPr>
          <w:p w:rsidR="000D0051" w:rsidRPr="000D0051" w:rsidRDefault="000D0051" w:rsidP="003A75DD">
            <w:pPr>
              <w:rPr>
                <w:szCs w:val="24"/>
              </w:rPr>
            </w:pPr>
            <w:r w:rsidRPr="00DE19E1">
              <w:rPr>
                <w:szCs w:val="24"/>
              </w:rPr>
              <w:t>Region means Orange County</w:t>
            </w:r>
            <w:r w:rsidR="003A75DD">
              <w:rPr>
                <w:szCs w:val="24"/>
              </w:rPr>
              <w:t>.  C</w:t>
            </w:r>
            <w:r w:rsidR="006931B2">
              <w:rPr>
                <w:szCs w:val="24"/>
              </w:rPr>
              <w:t>ohorts could be geographically specific, for example focused on a city</w:t>
            </w:r>
            <w:r w:rsidR="00A31997">
              <w:rPr>
                <w:szCs w:val="24"/>
              </w:rPr>
              <w:t>,</w:t>
            </w:r>
            <w:r w:rsidR="006931B2">
              <w:rPr>
                <w:szCs w:val="24"/>
              </w:rPr>
              <w:t xml:space="preserve"> area with in a city or countywide. </w:t>
            </w:r>
          </w:p>
        </w:tc>
      </w:tr>
      <w:tr w:rsidR="000D0051" w:rsidRPr="004E6FE3" w:rsidTr="000D0051">
        <w:tc>
          <w:tcPr>
            <w:tcW w:w="4788" w:type="dxa"/>
          </w:tcPr>
          <w:p w:rsidR="000D0051" w:rsidRPr="00DE19E1" w:rsidRDefault="000D0051" w:rsidP="000D0051">
            <w:pPr>
              <w:rPr>
                <w:szCs w:val="24"/>
              </w:rPr>
            </w:pPr>
            <w:r w:rsidRPr="00DE19E1">
              <w:rPr>
                <w:szCs w:val="24"/>
              </w:rPr>
              <w:t xml:space="preserve">Is there additional funding beyond this cycle? </w:t>
            </w:r>
          </w:p>
          <w:p w:rsidR="000D0051" w:rsidRPr="000D0051" w:rsidRDefault="000D0051" w:rsidP="000D0051">
            <w:pPr>
              <w:rPr>
                <w:szCs w:val="24"/>
              </w:rPr>
            </w:pPr>
          </w:p>
        </w:tc>
        <w:tc>
          <w:tcPr>
            <w:tcW w:w="4788" w:type="dxa"/>
          </w:tcPr>
          <w:p w:rsidR="000D0051" w:rsidRPr="00DE19E1" w:rsidRDefault="000D0051" w:rsidP="000D0051">
            <w:pPr>
              <w:rPr>
                <w:szCs w:val="24"/>
              </w:rPr>
            </w:pPr>
            <w:r w:rsidRPr="00DE19E1">
              <w:rPr>
                <w:szCs w:val="24"/>
              </w:rPr>
              <w:t>The total amount available for this</w:t>
            </w:r>
            <w:r w:rsidR="006931B2">
              <w:rPr>
                <w:szCs w:val="24"/>
              </w:rPr>
              <w:t xml:space="preserve"> </w:t>
            </w:r>
            <w:r w:rsidR="00A31997">
              <w:rPr>
                <w:szCs w:val="24"/>
              </w:rPr>
              <w:t>C</w:t>
            </w:r>
            <w:r w:rsidR="006931B2">
              <w:rPr>
                <w:szCs w:val="24"/>
              </w:rPr>
              <w:t xml:space="preserve">apacity Building </w:t>
            </w:r>
            <w:r w:rsidR="00A31997">
              <w:rPr>
                <w:szCs w:val="24"/>
              </w:rPr>
              <w:t>c</w:t>
            </w:r>
            <w:r w:rsidR="006931B2">
              <w:rPr>
                <w:szCs w:val="24"/>
              </w:rPr>
              <w:t>ycle is $</w:t>
            </w:r>
            <w:r w:rsidRPr="00DE19E1">
              <w:rPr>
                <w:szCs w:val="24"/>
              </w:rPr>
              <w:t>500</w:t>
            </w:r>
            <w:r w:rsidR="006931B2">
              <w:rPr>
                <w:szCs w:val="24"/>
              </w:rPr>
              <w:t>,000</w:t>
            </w:r>
            <w:r w:rsidRPr="00DE19E1">
              <w:rPr>
                <w:szCs w:val="24"/>
              </w:rPr>
              <w:t>.</w:t>
            </w:r>
          </w:p>
          <w:p w:rsidR="000D0051" w:rsidRPr="00DE19E1" w:rsidRDefault="000D0051" w:rsidP="000D0051">
            <w:pPr>
              <w:pStyle w:val="ListParagraph"/>
              <w:ind w:left="1080"/>
              <w:rPr>
                <w:rFonts w:ascii="Garamond" w:hAnsi="Garamond"/>
                <w:szCs w:val="24"/>
              </w:rPr>
            </w:pPr>
          </w:p>
          <w:p w:rsidR="000D0051" w:rsidRPr="000D0051" w:rsidRDefault="000D0051" w:rsidP="000D0051">
            <w:pPr>
              <w:rPr>
                <w:szCs w:val="24"/>
              </w:rPr>
            </w:pPr>
          </w:p>
        </w:tc>
      </w:tr>
      <w:tr w:rsidR="000D0051" w:rsidRPr="004E6FE3" w:rsidTr="000D0051">
        <w:tc>
          <w:tcPr>
            <w:tcW w:w="4788" w:type="dxa"/>
          </w:tcPr>
          <w:p w:rsidR="000D0051" w:rsidRPr="00DE19E1" w:rsidRDefault="006931B2" w:rsidP="000D0051">
            <w:pPr>
              <w:rPr>
                <w:szCs w:val="24"/>
              </w:rPr>
            </w:pPr>
            <w:r>
              <w:rPr>
                <w:szCs w:val="24"/>
              </w:rPr>
              <w:lastRenderedPageBreak/>
              <w:t xml:space="preserve">Would each </w:t>
            </w:r>
            <w:r w:rsidR="000D0051" w:rsidRPr="00DE19E1">
              <w:rPr>
                <w:szCs w:val="24"/>
              </w:rPr>
              <w:t>collaborative receiv</w:t>
            </w:r>
            <w:r>
              <w:rPr>
                <w:szCs w:val="24"/>
              </w:rPr>
              <w:t>e</w:t>
            </w:r>
            <w:r w:rsidR="000D0051" w:rsidRPr="00DE19E1">
              <w:rPr>
                <w:szCs w:val="24"/>
              </w:rPr>
              <w:t xml:space="preserve"> less than </w:t>
            </w:r>
            <w:r>
              <w:rPr>
                <w:szCs w:val="24"/>
              </w:rPr>
              <w:t>$</w:t>
            </w:r>
            <w:r w:rsidR="000D0051" w:rsidRPr="00DE19E1">
              <w:rPr>
                <w:szCs w:val="24"/>
              </w:rPr>
              <w:t>500</w:t>
            </w:r>
            <w:r>
              <w:rPr>
                <w:szCs w:val="24"/>
              </w:rPr>
              <w:t>,000</w:t>
            </w:r>
            <w:r w:rsidR="000D0051" w:rsidRPr="00DE19E1">
              <w:rPr>
                <w:szCs w:val="24"/>
              </w:rPr>
              <w:t xml:space="preserve">? </w:t>
            </w:r>
          </w:p>
          <w:p w:rsidR="000D0051" w:rsidRPr="000D0051" w:rsidRDefault="000D0051" w:rsidP="000D0051">
            <w:pPr>
              <w:rPr>
                <w:szCs w:val="24"/>
              </w:rPr>
            </w:pPr>
          </w:p>
        </w:tc>
        <w:tc>
          <w:tcPr>
            <w:tcW w:w="4788" w:type="dxa"/>
          </w:tcPr>
          <w:p w:rsidR="000D0051" w:rsidRPr="00DE19E1" w:rsidRDefault="000D0051" w:rsidP="000D0051">
            <w:pPr>
              <w:rPr>
                <w:szCs w:val="24"/>
              </w:rPr>
            </w:pPr>
            <w:r w:rsidRPr="00DE19E1">
              <w:rPr>
                <w:szCs w:val="24"/>
              </w:rPr>
              <w:t>Yes</w:t>
            </w:r>
            <w:r w:rsidR="006931B2">
              <w:rPr>
                <w:szCs w:val="24"/>
              </w:rPr>
              <w:t xml:space="preserve">, the $500,000 is the total allocation </w:t>
            </w:r>
            <w:r w:rsidR="00BD0025">
              <w:rPr>
                <w:szCs w:val="24"/>
              </w:rPr>
              <w:t>to</w:t>
            </w:r>
            <w:r w:rsidR="006931B2">
              <w:rPr>
                <w:szCs w:val="24"/>
              </w:rPr>
              <w:t xml:space="preserve"> the Capacity </w:t>
            </w:r>
            <w:r w:rsidR="00A31997">
              <w:rPr>
                <w:szCs w:val="24"/>
              </w:rPr>
              <w:t>B</w:t>
            </w:r>
            <w:r w:rsidR="006931B2">
              <w:rPr>
                <w:szCs w:val="24"/>
              </w:rPr>
              <w:t xml:space="preserve">uilding cycle and will be divided </w:t>
            </w:r>
            <w:r w:rsidR="00BD0025">
              <w:rPr>
                <w:szCs w:val="24"/>
              </w:rPr>
              <w:t>among</w:t>
            </w:r>
            <w:r w:rsidR="006931B2">
              <w:rPr>
                <w:szCs w:val="24"/>
              </w:rPr>
              <w:t xml:space="preserve"> the successful applicants at the discretion of the Commission</w:t>
            </w:r>
            <w:r w:rsidR="00BD0025">
              <w:rPr>
                <w:szCs w:val="24"/>
              </w:rPr>
              <w:t xml:space="preserve"> and based on each cohort</w:t>
            </w:r>
            <w:r w:rsidR="003A75DD">
              <w:rPr>
                <w:szCs w:val="24"/>
              </w:rPr>
              <w:t>’</w:t>
            </w:r>
            <w:r w:rsidR="00BD0025">
              <w:rPr>
                <w:szCs w:val="24"/>
              </w:rPr>
              <w:t>s scope of work.</w:t>
            </w:r>
            <w:r w:rsidR="006931B2">
              <w:rPr>
                <w:szCs w:val="24"/>
              </w:rPr>
              <w:t xml:space="preserve"> </w:t>
            </w:r>
            <w:r w:rsidRPr="00DE19E1">
              <w:rPr>
                <w:szCs w:val="24"/>
              </w:rPr>
              <w:t xml:space="preserve">  </w:t>
            </w:r>
          </w:p>
          <w:p w:rsidR="000D0051" w:rsidRPr="000D0051" w:rsidRDefault="000D0051" w:rsidP="000D0051">
            <w:pPr>
              <w:rPr>
                <w:szCs w:val="24"/>
              </w:rPr>
            </w:pPr>
          </w:p>
        </w:tc>
      </w:tr>
      <w:tr w:rsidR="000D0051" w:rsidRPr="004E6FE3" w:rsidTr="000D0051">
        <w:tc>
          <w:tcPr>
            <w:tcW w:w="4788" w:type="dxa"/>
          </w:tcPr>
          <w:p w:rsidR="000D0051" w:rsidRPr="000D0051" w:rsidRDefault="000D0051" w:rsidP="003A75DD">
            <w:pPr>
              <w:rPr>
                <w:szCs w:val="24"/>
              </w:rPr>
            </w:pPr>
            <w:r w:rsidRPr="00DE19E1">
              <w:rPr>
                <w:szCs w:val="24"/>
              </w:rPr>
              <w:t>Do</w:t>
            </w:r>
            <w:r w:rsidR="00BD0025">
              <w:rPr>
                <w:szCs w:val="24"/>
              </w:rPr>
              <w:t>es</w:t>
            </w:r>
            <w:r w:rsidRPr="00DE19E1">
              <w:rPr>
                <w:szCs w:val="24"/>
              </w:rPr>
              <w:t xml:space="preserve"> the Commission select the </w:t>
            </w:r>
            <w:r w:rsidR="003A75DD">
              <w:rPr>
                <w:szCs w:val="24"/>
              </w:rPr>
              <w:t>technical assistance</w:t>
            </w:r>
            <w:r w:rsidR="003A75DD" w:rsidRPr="00DE19E1">
              <w:rPr>
                <w:szCs w:val="24"/>
              </w:rPr>
              <w:t xml:space="preserve"> </w:t>
            </w:r>
            <w:r w:rsidRPr="00DE19E1">
              <w:rPr>
                <w:szCs w:val="24"/>
              </w:rPr>
              <w:t>provider?</w:t>
            </w:r>
          </w:p>
        </w:tc>
        <w:tc>
          <w:tcPr>
            <w:tcW w:w="4788" w:type="dxa"/>
          </w:tcPr>
          <w:p w:rsidR="000D0051" w:rsidRPr="00DE19E1" w:rsidRDefault="00BD0025" w:rsidP="000D0051">
            <w:pPr>
              <w:rPr>
                <w:szCs w:val="24"/>
              </w:rPr>
            </w:pPr>
            <w:r>
              <w:rPr>
                <w:szCs w:val="24"/>
              </w:rPr>
              <w:t xml:space="preserve">Commission staff working with the cohort will develop a scope of work, including the technical assistance needed to accomplish the outcomes as identified in the application. </w:t>
            </w:r>
            <w:r w:rsidR="000D0051" w:rsidRPr="00DE19E1">
              <w:rPr>
                <w:szCs w:val="24"/>
              </w:rPr>
              <w:t xml:space="preserve">If </w:t>
            </w:r>
            <w:r>
              <w:rPr>
                <w:szCs w:val="24"/>
              </w:rPr>
              <w:t xml:space="preserve">a cohort </w:t>
            </w:r>
            <w:r w:rsidR="000D0051" w:rsidRPr="00DE19E1">
              <w:rPr>
                <w:szCs w:val="24"/>
              </w:rPr>
              <w:t>ha</w:t>
            </w:r>
            <w:r>
              <w:rPr>
                <w:szCs w:val="24"/>
              </w:rPr>
              <w:t>s</w:t>
            </w:r>
            <w:r w:rsidR="000D0051" w:rsidRPr="00DE19E1">
              <w:rPr>
                <w:szCs w:val="24"/>
              </w:rPr>
              <w:t xml:space="preserve"> </w:t>
            </w:r>
            <w:r w:rsidR="003A75DD">
              <w:rPr>
                <w:szCs w:val="24"/>
              </w:rPr>
              <w:t xml:space="preserve">a </w:t>
            </w:r>
            <w:r w:rsidR="000D0051" w:rsidRPr="00DE19E1">
              <w:rPr>
                <w:szCs w:val="24"/>
              </w:rPr>
              <w:t>consultant</w:t>
            </w:r>
            <w:r>
              <w:rPr>
                <w:szCs w:val="24"/>
              </w:rPr>
              <w:t>(</w:t>
            </w:r>
            <w:r w:rsidR="000D0051" w:rsidRPr="00DE19E1">
              <w:rPr>
                <w:szCs w:val="24"/>
              </w:rPr>
              <w:t>s</w:t>
            </w:r>
            <w:r>
              <w:rPr>
                <w:szCs w:val="24"/>
              </w:rPr>
              <w:t>)</w:t>
            </w:r>
            <w:r w:rsidR="000D0051" w:rsidRPr="00DE19E1">
              <w:rPr>
                <w:szCs w:val="24"/>
              </w:rPr>
              <w:t xml:space="preserve"> </w:t>
            </w:r>
            <w:r>
              <w:rPr>
                <w:szCs w:val="24"/>
              </w:rPr>
              <w:t>that has unique experience or expertise</w:t>
            </w:r>
            <w:r w:rsidR="003A75DD">
              <w:rPr>
                <w:szCs w:val="24"/>
              </w:rPr>
              <w:t xml:space="preserve">, the </w:t>
            </w:r>
            <w:r>
              <w:rPr>
                <w:szCs w:val="24"/>
              </w:rPr>
              <w:t>cohort</w:t>
            </w:r>
            <w:r w:rsidR="003A75DD">
              <w:rPr>
                <w:szCs w:val="24"/>
              </w:rPr>
              <w:t xml:space="preserve"> </w:t>
            </w:r>
            <w:proofErr w:type="gramStart"/>
            <w:r w:rsidR="003A75DD">
              <w:rPr>
                <w:szCs w:val="24"/>
              </w:rPr>
              <w:t xml:space="preserve">should </w:t>
            </w:r>
            <w:r>
              <w:rPr>
                <w:szCs w:val="24"/>
              </w:rPr>
              <w:t xml:space="preserve"> note</w:t>
            </w:r>
            <w:proofErr w:type="gramEnd"/>
            <w:r>
              <w:rPr>
                <w:szCs w:val="24"/>
              </w:rPr>
              <w:t xml:space="preserve"> that in the application. </w:t>
            </w:r>
          </w:p>
          <w:p w:rsidR="000D0051" w:rsidRPr="000D0051" w:rsidRDefault="000D0051" w:rsidP="000D0051">
            <w:pPr>
              <w:rPr>
                <w:szCs w:val="24"/>
              </w:rPr>
            </w:pPr>
          </w:p>
        </w:tc>
      </w:tr>
      <w:tr w:rsidR="000D0051" w:rsidRPr="004E6FE3" w:rsidTr="000D0051">
        <w:tc>
          <w:tcPr>
            <w:tcW w:w="4788" w:type="dxa"/>
          </w:tcPr>
          <w:p w:rsidR="000D0051" w:rsidRPr="00DE19E1" w:rsidRDefault="00BD0025" w:rsidP="00BD0025">
            <w:pPr>
              <w:rPr>
                <w:szCs w:val="24"/>
              </w:rPr>
            </w:pPr>
            <w:r>
              <w:rPr>
                <w:szCs w:val="24"/>
              </w:rPr>
              <w:t>Is there a budget required in the application submittal</w:t>
            </w:r>
            <w:r w:rsidR="000D0051" w:rsidRPr="00DE19E1">
              <w:rPr>
                <w:szCs w:val="24"/>
              </w:rPr>
              <w:t xml:space="preserve">?  </w:t>
            </w:r>
          </w:p>
        </w:tc>
        <w:tc>
          <w:tcPr>
            <w:tcW w:w="4788" w:type="dxa"/>
          </w:tcPr>
          <w:p w:rsidR="000D0051" w:rsidRDefault="00BD0025" w:rsidP="00BD0025">
            <w:pPr>
              <w:rPr>
                <w:szCs w:val="24"/>
              </w:rPr>
            </w:pPr>
            <w:r>
              <w:rPr>
                <w:szCs w:val="24"/>
              </w:rPr>
              <w:t xml:space="preserve">The application document does not require cohorts to submit a budget. </w:t>
            </w:r>
            <w:r w:rsidR="003A75DD">
              <w:rPr>
                <w:szCs w:val="24"/>
              </w:rPr>
              <w:t xml:space="preserve"> However, the narrative does provide space to detail the scope and nature of the assistance that would be needed.</w:t>
            </w:r>
          </w:p>
          <w:p w:rsidR="00BD0025" w:rsidRPr="00DE19E1" w:rsidRDefault="00BD0025" w:rsidP="00BD0025">
            <w:pPr>
              <w:rPr>
                <w:szCs w:val="24"/>
              </w:rPr>
            </w:pPr>
          </w:p>
        </w:tc>
      </w:tr>
      <w:tr w:rsidR="000D0051" w:rsidRPr="004E6FE3" w:rsidTr="000D0051">
        <w:tc>
          <w:tcPr>
            <w:tcW w:w="4788" w:type="dxa"/>
          </w:tcPr>
          <w:p w:rsidR="000D0051" w:rsidRPr="00DE19E1" w:rsidRDefault="000D0051" w:rsidP="003A75DD">
            <w:pPr>
              <w:rPr>
                <w:szCs w:val="24"/>
              </w:rPr>
            </w:pPr>
            <w:r w:rsidRPr="00DE19E1">
              <w:rPr>
                <w:szCs w:val="24"/>
              </w:rPr>
              <w:t xml:space="preserve">In the past, </w:t>
            </w:r>
            <w:r w:rsidR="003A75DD">
              <w:rPr>
                <w:szCs w:val="24"/>
              </w:rPr>
              <w:t xml:space="preserve">applicants could not </w:t>
            </w:r>
            <w:r w:rsidRPr="00DE19E1">
              <w:rPr>
                <w:szCs w:val="24"/>
              </w:rPr>
              <w:t xml:space="preserve">reach out </w:t>
            </w:r>
            <w:r w:rsidR="003A75DD">
              <w:rPr>
                <w:szCs w:val="24"/>
              </w:rPr>
              <w:t xml:space="preserve">to Commission staff </w:t>
            </w:r>
            <w:proofErr w:type="gramStart"/>
            <w:r w:rsidR="003A75DD">
              <w:rPr>
                <w:szCs w:val="24"/>
              </w:rPr>
              <w:t xml:space="preserve">to </w:t>
            </w:r>
            <w:r w:rsidRPr="00DE19E1">
              <w:rPr>
                <w:szCs w:val="24"/>
              </w:rPr>
              <w:t xml:space="preserve"> ask</w:t>
            </w:r>
            <w:proofErr w:type="gramEnd"/>
            <w:r w:rsidRPr="00DE19E1">
              <w:rPr>
                <w:szCs w:val="24"/>
              </w:rPr>
              <w:t xml:space="preserve"> a question after this information session. Is this still the case?</w:t>
            </w:r>
          </w:p>
        </w:tc>
        <w:tc>
          <w:tcPr>
            <w:tcW w:w="4788" w:type="dxa"/>
          </w:tcPr>
          <w:p w:rsidR="000D0051" w:rsidRPr="00DE19E1" w:rsidRDefault="000D0051" w:rsidP="000D0051">
            <w:pPr>
              <w:rPr>
                <w:szCs w:val="24"/>
              </w:rPr>
            </w:pPr>
            <w:r w:rsidRPr="00DE19E1">
              <w:rPr>
                <w:szCs w:val="24"/>
              </w:rPr>
              <w:t>Yes, that stands</w:t>
            </w:r>
            <w:r w:rsidR="00DD412F">
              <w:rPr>
                <w:szCs w:val="24"/>
              </w:rPr>
              <w:t>,</w:t>
            </w:r>
            <w:r w:rsidRPr="00DE19E1">
              <w:rPr>
                <w:szCs w:val="24"/>
              </w:rPr>
              <w:t xml:space="preserve"> with </w:t>
            </w:r>
            <w:r w:rsidR="00DD412F">
              <w:rPr>
                <w:szCs w:val="24"/>
              </w:rPr>
              <w:t>one</w:t>
            </w:r>
            <w:r w:rsidRPr="00DE19E1">
              <w:rPr>
                <w:szCs w:val="24"/>
              </w:rPr>
              <w:t xml:space="preserve"> </w:t>
            </w:r>
            <w:r w:rsidR="00BD0025">
              <w:rPr>
                <w:szCs w:val="24"/>
              </w:rPr>
              <w:t>exception</w:t>
            </w:r>
            <w:r w:rsidR="00DD412F">
              <w:rPr>
                <w:szCs w:val="24"/>
              </w:rPr>
              <w:t xml:space="preserve">.  Agencies </w:t>
            </w:r>
            <w:r w:rsidR="00BD0025">
              <w:rPr>
                <w:szCs w:val="24"/>
              </w:rPr>
              <w:t xml:space="preserve">that submit a Letter of Intent will be offered an additional hour of one on one technical assistance prior to the application deadline. </w:t>
            </w:r>
            <w:r w:rsidRPr="00DE19E1">
              <w:rPr>
                <w:szCs w:val="24"/>
              </w:rPr>
              <w:t xml:space="preserve"> </w:t>
            </w:r>
          </w:p>
          <w:p w:rsidR="000D0051" w:rsidRPr="00DE19E1" w:rsidRDefault="000D0051" w:rsidP="000D0051">
            <w:pPr>
              <w:pStyle w:val="ListParagraph"/>
              <w:ind w:left="1080"/>
              <w:rPr>
                <w:rFonts w:ascii="Garamond" w:hAnsi="Garamond"/>
                <w:szCs w:val="24"/>
              </w:rPr>
            </w:pPr>
          </w:p>
        </w:tc>
      </w:tr>
      <w:tr w:rsidR="000D0051" w:rsidRPr="004E6FE3" w:rsidTr="000D0051">
        <w:tc>
          <w:tcPr>
            <w:tcW w:w="4788" w:type="dxa"/>
          </w:tcPr>
          <w:p w:rsidR="000D0051" w:rsidRPr="00DE19E1" w:rsidRDefault="000D0051" w:rsidP="000D0051">
            <w:pPr>
              <w:rPr>
                <w:szCs w:val="24"/>
              </w:rPr>
            </w:pPr>
            <w:r w:rsidRPr="00DE19E1">
              <w:rPr>
                <w:szCs w:val="24"/>
              </w:rPr>
              <w:t>Is an agency eligible to apply if it is not currently funded by the Commission?</w:t>
            </w:r>
            <w:r w:rsidRPr="00DE19E1">
              <w:rPr>
                <w:szCs w:val="24"/>
              </w:rPr>
              <w:tab/>
            </w:r>
          </w:p>
          <w:p w:rsidR="000D0051" w:rsidRPr="00DE19E1" w:rsidRDefault="000D0051" w:rsidP="000D0051">
            <w:pPr>
              <w:rPr>
                <w:szCs w:val="24"/>
              </w:rPr>
            </w:pPr>
          </w:p>
        </w:tc>
        <w:tc>
          <w:tcPr>
            <w:tcW w:w="4788" w:type="dxa"/>
          </w:tcPr>
          <w:p w:rsidR="000D0051" w:rsidRPr="00DE19E1" w:rsidRDefault="000D0051" w:rsidP="00DD412F">
            <w:pPr>
              <w:rPr>
                <w:szCs w:val="24"/>
              </w:rPr>
            </w:pPr>
            <w:r w:rsidRPr="00DE19E1">
              <w:rPr>
                <w:szCs w:val="24"/>
              </w:rPr>
              <w:t>Yes</w:t>
            </w:r>
            <w:r w:rsidR="00BD0025">
              <w:rPr>
                <w:szCs w:val="24"/>
              </w:rPr>
              <w:t xml:space="preserve">, cohorts can include both agencies that receive Commission as well as those that don’t. </w:t>
            </w:r>
          </w:p>
        </w:tc>
      </w:tr>
    </w:tbl>
    <w:p w:rsidR="000D0051" w:rsidRPr="004E6FE3" w:rsidRDefault="000D0051" w:rsidP="000D0051">
      <w:pPr>
        <w:rPr>
          <w:szCs w:val="24"/>
        </w:rPr>
      </w:pPr>
    </w:p>
    <w:sectPr w:rsidR="000D0051" w:rsidRPr="004E6FE3" w:rsidSect="006538C8">
      <w:footerReference w:type="default" r:id="rId9"/>
      <w:headerReference w:type="first" r:id="rId10"/>
      <w:footerReference w:type="first" r:id="rId11"/>
      <w:pgSz w:w="12240" w:h="15840"/>
      <w:pgMar w:top="1440" w:right="1440" w:bottom="1440" w:left="1440" w:header="720" w:footer="2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90" w:rsidRDefault="00605590" w:rsidP="0026175C">
      <w:r>
        <w:separator/>
      </w:r>
    </w:p>
  </w:endnote>
  <w:endnote w:type="continuationSeparator" w:id="0">
    <w:p w:rsidR="00605590" w:rsidRDefault="00605590" w:rsidP="0026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89721"/>
      <w:docPartObj>
        <w:docPartGallery w:val="Page Numbers (Bottom of Page)"/>
        <w:docPartUnique/>
      </w:docPartObj>
    </w:sdtPr>
    <w:sdtEndPr>
      <w:rPr>
        <w:noProof/>
      </w:rPr>
    </w:sdtEndPr>
    <w:sdtContent>
      <w:p w:rsidR="00CC665F" w:rsidRDefault="00CC665F">
        <w:pPr>
          <w:pStyle w:val="Footer"/>
          <w:jc w:val="center"/>
        </w:pPr>
        <w:r>
          <w:fldChar w:fldCharType="begin"/>
        </w:r>
        <w:r>
          <w:instrText xml:space="preserve"> PAGE   \* MERGEFORMAT </w:instrText>
        </w:r>
        <w:r>
          <w:fldChar w:fldCharType="separate"/>
        </w:r>
        <w:r w:rsidR="00941F7E">
          <w:rPr>
            <w:noProof/>
          </w:rPr>
          <w:t>3</w:t>
        </w:r>
        <w:r>
          <w:rPr>
            <w:noProof/>
          </w:rPr>
          <w:fldChar w:fldCharType="end"/>
        </w:r>
      </w:p>
    </w:sdtContent>
  </w:sdt>
  <w:p w:rsidR="00CC665F" w:rsidRDefault="00CC6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42" w:rsidRDefault="00557442" w:rsidP="0026175C">
    <w:pPr>
      <w:pStyle w:val="Footer"/>
      <w:tabs>
        <w:tab w:val="clear" w:pos="4680"/>
        <w:tab w:val="left" w:pos="1755"/>
        <w:tab w:val="left" w:pos="3600"/>
        <w:tab w:val="left" w:pos="6120"/>
        <w:tab w:val="left" w:pos="9711"/>
      </w:tabs>
      <w:ind w:left="-720"/>
      <w:rPr>
        <w:rFonts w:ascii="Arial" w:hAnsi="Arial" w:cs="Arial"/>
        <w:color w:val="808080"/>
        <w:sz w:val="14"/>
        <w:szCs w:val="16"/>
      </w:rPr>
    </w:pPr>
    <w:r w:rsidRPr="00113EF0">
      <w:tab/>
    </w:r>
    <w:r w:rsidRPr="00113EF0">
      <w:tab/>
    </w:r>
    <w:r w:rsidRPr="0026175C">
      <w:rPr>
        <w:rFonts w:ascii="Arial" w:hAnsi="Arial" w:cs="Arial"/>
        <w:b/>
        <w:color w:val="808080"/>
        <w:sz w:val="14"/>
        <w:szCs w:val="16"/>
      </w:rPr>
      <w:t>Commissioners</w:t>
    </w:r>
    <w:r w:rsidRPr="0026175C">
      <w:rPr>
        <w:rFonts w:ascii="Arial" w:hAnsi="Arial" w:cs="Arial"/>
        <w:color w:val="808080"/>
        <w:sz w:val="14"/>
        <w:szCs w:val="16"/>
      </w:rPr>
      <w:tab/>
    </w:r>
    <w:r w:rsidRPr="0026175C">
      <w:rPr>
        <w:rFonts w:ascii="Arial" w:hAnsi="Arial" w:cs="Arial"/>
        <w:color w:val="808080"/>
        <w:sz w:val="14"/>
        <w:szCs w:val="16"/>
      </w:rPr>
      <w:tab/>
    </w:r>
    <w:r w:rsidRPr="0026175C">
      <w:rPr>
        <w:rFonts w:ascii="Arial" w:hAnsi="Arial" w:cs="Arial"/>
        <w:b/>
        <w:color w:val="808080"/>
        <w:sz w:val="14"/>
        <w:szCs w:val="16"/>
      </w:rPr>
      <w:t>Executive</w:t>
    </w:r>
    <w:r w:rsidRPr="0026175C">
      <w:rPr>
        <w:rFonts w:ascii="Arial" w:hAnsi="Arial" w:cs="Arial"/>
        <w:color w:val="808080"/>
        <w:sz w:val="14"/>
        <w:szCs w:val="16"/>
      </w:rPr>
      <w:t xml:space="preserve"> </w:t>
    </w:r>
    <w:r w:rsidRPr="0026175C">
      <w:rPr>
        <w:rFonts w:ascii="Arial" w:hAnsi="Arial" w:cs="Arial"/>
        <w:b/>
        <w:color w:val="808080"/>
        <w:sz w:val="14"/>
        <w:szCs w:val="16"/>
      </w:rPr>
      <w:t>Director</w:t>
    </w:r>
    <w:r w:rsidRPr="0026175C">
      <w:rPr>
        <w:rFonts w:ascii="Arial" w:hAnsi="Arial" w:cs="Arial"/>
        <w:color w:val="808080"/>
        <w:sz w:val="14"/>
        <w:szCs w:val="16"/>
      </w:rPr>
      <w:br/>
      <w:t>1505 East 17th Street</w:t>
    </w:r>
    <w:r w:rsidRPr="0026175C">
      <w:rPr>
        <w:rFonts w:ascii="Arial" w:hAnsi="Arial" w:cs="Arial"/>
        <w:color w:val="808080"/>
        <w:sz w:val="14"/>
        <w:szCs w:val="16"/>
      </w:rPr>
      <w:tab/>
      <w:t>telephone</w:t>
    </w:r>
    <w:r w:rsidRPr="0026175C">
      <w:rPr>
        <w:rFonts w:ascii="Arial" w:hAnsi="Arial" w:cs="Arial"/>
        <w:color w:val="808080"/>
        <w:sz w:val="14"/>
        <w:szCs w:val="16"/>
      </w:rPr>
      <w:tab/>
    </w:r>
    <w:r>
      <w:rPr>
        <w:rFonts w:ascii="Arial" w:hAnsi="Arial" w:cs="Arial"/>
        <w:color w:val="808080"/>
        <w:sz w:val="14"/>
        <w:szCs w:val="16"/>
      </w:rPr>
      <w:t>Maria E. Minon, M.D., Chair</w:t>
    </w:r>
    <w:r>
      <w:rPr>
        <w:rFonts w:ascii="Arial" w:hAnsi="Arial" w:cs="Arial"/>
        <w:color w:val="808080"/>
        <w:sz w:val="14"/>
        <w:szCs w:val="16"/>
      </w:rPr>
      <w:tab/>
      <w:t xml:space="preserve">Kimberly Chavalas Cripe            </w:t>
    </w:r>
    <w:r w:rsidRPr="0026175C">
      <w:rPr>
        <w:rFonts w:ascii="Arial" w:hAnsi="Arial" w:cs="Arial"/>
        <w:color w:val="808080"/>
        <w:sz w:val="14"/>
        <w:szCs w:val="16"/>
      </w:rPr>
      <w:t>Christin</w:t>
    </w:r>
    <w:r>
      <w:rPr>
        <w:rFonts w:ascii="Arial" w:hAnsi="Arial" w:cs="Arial"/>
        <w:color w:val="808080"/>
        <w:sz w:val="14"/>
        <w:szCs w:val="16"/>
      </w:rPr>
      <w:t>a Altmayer</w:t>
    </w:r>
    <w:r>
      <w:rPr>
        <w:rFonts w:ascii="Arial" w:hAnsi="Arial" w:cs="Arial"/>
        <w:color w:val="808080"/>
        <w:sz w:val="14"/>
        <w:szCs w:val="16"/>
      </w:rPr>
      <w:br/>
      <w:t>Suite 230</w:t>
    </w:r>
    <w:r>
      <w:rPr>
        <w:rFonts w:ascii="Arial" w:hAnsi="Arial" w:cs="Arial"/>
        <w:color w:val="808080"/>
        <w:sz w:val="14"/>
        <w:szCs w:val="16"/>
      </w:rPr>
      <w:tab/>
      <w:t>714 834 5310</w:t>
    </w:r>
    <w:r w:rsidRPr="0026175C">
      <w:rPr>
        <w:rFonts w:ascii="Arial" w:hAnsi="Arial" w:cs="Arial"/>
        <w:color w:val="808080"/>
        <w:sz w:val="14"/>
        <w:szCs w:val="16"/>
      </w:rPr>
      <w:tab/>
      <w:t>Hugh Hewitt</w:t>
    </w:r>
    <w:r>
      <w:rPr>
        <w:rFonts w:ascii="Arial" w:hAnsi="Arial" w:cs="Arial"/>
        <w:color w:val="808080"/>
        <w:sz w:val="14"/>
        <w:szCs w:val="16"/>
      </w:rPr>
      <w:t>, Vice Chair</w:t>
    </w:r>
    <w:r>
      <w:rPr>
        <w:rFonts w:ascii="Arial" w:hAnsi="Arial" w:cs="Arial"/>
        <w:color w:val="808080"/>
        <w:sz w:val="14"/>
        <w:szCs w:val="16"/>
      </w:rPr>
      <w:tab/>
      <w:t>Sandra Pierce</w:t>
    </w:r>
    <w:r w:rsidRPr="0026175C">
      <w:rPr>
        <w:rFonts w:ascii="Arial" w:hAnsi="Arial" w:cs="Arial"/>
        <w:color w:val="808080"/>
        <w:sz w:val="14"/>
        <w:szCs w:val="16"/>
      </w:rPr>
      <w:br/>
      <w:t>Santa Ana</w:t>
    </w:r>
    <w:r w:rsidRPr="0026175C">
      <w:rPr>
        <w:rFonts w:ascii="Arial" w:hAnsi="Arial" w:cs="Arial"/>
        <w:color w:val="808080"/>
        <w:sz w:val="14"/>
        <w:szCs w:val="16"/>
      </w:rPr>
      <w:tab/>
    </w:r>
    <w:r w:rsidRPr="0026175C">
      <w:rPr>
        <w:rFonts w:ascii="Arial" w:hAnsi="Arial" w:cs="Arial"/>
        <w:color w:val="808080"/>
        <w:sz w:val="14"/>
        <w:szCs w:val="16"/>
      </w:rPr>
      <w:tab/>
      <w:t>Katherine Ahn,</w:t>
    </w:r>
    <w:r>
      <w:rPr>
        <w:rFonts w:ascii="Arial" w:hAnsi="Arial" w:cs="Arial"/>
        <w:color w:val="808080"/>
        <w:sz w:val="14"/>
        <w:szCs w:val="16"/>
      </w:rPr>
      <w:t xml:space="preserve"> </w:t>
    </w:r>
    <w:r w:rsidRPr="0026175C">
      <w:rPr>
        <w:rFonts w:ascii="Arial" w:hAnsi="Arial" w:cs="Arial"/>
        <w:color w:val="808080"/>
        <w:sz w:val="14"/>
        <w:szCs w:val="16"/>
      </w:rPr>
      <w:t>D.D.S</w:t>
    </w:r>
    <w:r>
      <w:rPr>
        <w:rFonts w:ascii="Arial" w:hAnsi="Arial" w:cs="Arial"/>
        <w:color w:val="808080"/>
        <w:sz w:val="14"/>
        <w:szCs w:val="16"/>
      </w:rPr>
      <w:t>.</w:t>
    </w:r>
    <w:r w:rsidRPr="0026175C">
      <w:rPr>
        <w:rFonts w:ascii="Arial" w:hAnsi="Arial" w:cs="Arial"/>
        <w:color w:val="808080"/>
        <w:sz w:val="14"/>
        <w:szCs w:val="16"/>
      </w:rPr>
      <w:tab/>
    </w:r>
    <w:r>
      <w:rPr>
        <w:rFonts w:ascii="Arial" w:hAnsi="Arial" w:cs="Arial"/>
        <w:color w:val="808080"/>
        <w:sz w:val="14"/>
        <w:szCs w:val="16"/>
      </w:rPr>
      <w:t>Mark Refowitz</w:t>
    </w:r>
    <w:r w:rsidRPr="0026175C">
      <w:rPr>
        <w:rFonts w:ascii="Arial" w:hAnsi="Arial" w:cs="Arial"/>
        <w:color w:val="808080"/>
        <w:sz w:val="14"/>
        <w:szCs w:val="16"/>
      </w:rPr>
      <w:br/>
      <w:t>CA 92705</w:t>
    </w:r>
    <w:r w:rsidRPr="0026175C">
      <w:rPr>
        <w:rFonts w:ascii="Arial" w:hAnsi="Arial" w:cs="Arial"/>
        <w:color w:val="808080"/>
        <w:sz w:val="14"/>
        <w:szCs w:val="16"/>
      </w:rPr>
      <w:tab/>
    </w:r>
    <w:r w:rsidRPr="0026175C">
      <w:rPr>
        <w:rFonts w:ascii="Arial" w:hAnsi="Arial" w:cs="Arial"/>
        <w:color w:val="808080"/>
        <w:sz w:val="14"/>
        <w:szCs w:val="16"/>
      </w:rPr>
      <w:tab/>
    </w:r>
    <w:r>
      <w:rPr>
        <w:rFonts w:ascii="Arial" w:hAnsi="Arial" w:cs="Arial"/>
        <w:color w:val="808080"/>
        <w:sz w:val="14"/>
        <w:szCs w:val="16"/>
      </w:rPr>
      <w:t>Sandra Barry</w:t>
    </w:r>
    <w:r w:rsidRPr="0026175C">
      <w:rPr>
        <w:rFonts w:ascii="Arial" w:hAnsi="Arial" w:cs="Arial"/>
        <w:color w:val="808080"/>
        <w:sz w:val="14"/>
        <w:szCs w:val="16"/>
      </w:rPr>
      <w:tab/>
    </w:r>
    <w:r>
      <w:rPr>
        <w:rFonts w:ascii="Arial" w:hAnsi="Arial" w:cs="Arial"/>
        <w:color w:val="808080"/>
        <w:sz w:val="14"/>
        <w:szCs w:val="16"/>
      </w:rPr>
      <w:t xml:space="preserve">Michael F. </w:t>
    </w:r>
    <w:r w:rsidRPr="00A40AB2">
      <w:rPr>
        <w:rFonts w:ascii="Arial" w:hAnsi="Arial" w:cs="Arial"/>
        <w:color w:val="808080"/>
        <w:sz w:val="14"/>
        <w:szCs w:val="16"/>
      </w:rPr>
      <w:t>Ryan</w:t>
    </w:r>
  </w:p>
  <w:p w:rsidR="00557442" w:rsidRPr="00A40AB2" w:rsidRDefault="00557442" w:rsidP="0026175C">
    <w:pPr>
      <w:pStyle w:val="Footer"/>
      <w:tabs>
        <w:tab w:val="clear" w:pos="4680"/>
        <w:tab w:val="left" w:pos="1755"/>
        <w:tab w:val="left" w:pos="3600"/>
        <w:tab w:val="left" w:pos="6120"/>
        <w:tab w:val="left" w:pos="9711"/>
      </w:tabs>
      <w:ind w:left="-720"/>
      <w:rPr>
        <w:rFonts w:ascii="Arial" w:hAnsi="Arial" w:cs="Arial"/>
        <w:color w:val="808080"/>
        <w:sz w:val="14"/>
        <w:szCs w:val="16"/>
      </w:rPr>
    </w:pPr>
    <w:r>
      <w:rPr>
        <w:rFonts w:ascii="Arial" w:hAnsi="Arial" w:cs="Arial"/>
        <w:b/>
        <w:color w:val="808080"/>
        <w:sz w:val="14"/>
        <w:szCs w:val="16"/>
      </w:rPr>
      <w:tab/>
    </w:r>
    <w:r>
      <w:rPr>
        <w:rFonts w:ascii="Arial" w:hAnsi="Arial" w:cs="Arial"/>
        <w:b/>
        <w:color w:val="808080"/>
        <w:sz w:val="14"/>
        <w:szCs w:val="16"/>
      </w:rPr>
      <w:tab/>
    </w:r>
    <w:r>
      <w:rPr>
        <w:rFonts w:ascii="Arial" w:hAnsi="Arial" w:cs="Arial"/>
        <w:b/>
        <w:color w:val="808080"/>
        <w:sz w:val="14"/>
        <w:szCs w:val="16"/>
      </w:rPr>
      <w:tab/>
    </w:r>
    <w:r>
      <w:rPr>
        <w:rFonts w:ascii="Arial" w:hAnsi="Arial" w:cs="Arial"/>
        <w:color w:val="808080"/>
        <w:sz w:val="14"/>
        <w:szCs w:val="16"/>
      </w:rPr>
      <w:t>Michelle Steel</w:t>
    </w:r>
    <w:r w:rsidRPr="00A40AB2">
      <w:rPr>
        <w:rFonts w:ascii="Arial" w:hAnsi="Arial" w:cs="Arial"/>
        <w:color w:val="808080"/>
        <w:sz w:val="14"/>
        <w:szCs w:val="16"/>
      </w:rPr>
      <w:br/>
    </w:r>
    <w:r w:rsidRPr="00A40AB2">
      <w:rPr>
        <w:rFonts w:ascii="Arial" w:hAnsi="Arial" w:cs="Arial"/>
        <w:color w:val="808080"/>
        <w:sz w:val="14"/>
        <w:szCs w:val="16"/>
      </w:rPr>
      <w:tab/>
    </w:r>
    <w:r w:rsidRPr="00A40AB2">
      <w:rPr>
        <w:rFonts w:ascii="Arial" w:hAnsi="Arial" w:cs="Arial"/>
        <w:color w:val="808080"/>
        <w:sz w:val="14"/>
        <w:szCs w:val="16"/>
      </w:rPr>
      <w:tab/>
      <w:t xml:space="preserve"> </w:t>
    </w:r>
  </w:p>
  <w:p w:rsidR="00557442" w:rsidRPr="0026175C" w:rsidRDefault="00557442" w:rsidP="0026175C">
    <w:pPr>
      <w:pStyle w:val="Footer"/>
      <w:tabs>
        <w:tab w:val="clear" w:pos="4680"/>
        <w:tab w:val="left" w:pos="3600"/>
        <w:tab w:val="left" w:pos="6120"/>
      </w:tabs>
      <w:ind w:left="-720"/>
      <w:rPr>
        <w:rFonts w:ascii="Arial" w:hAnsi="Arial" w:cs="Arial"/>
        <w:color w:val="808080"/>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90" w:rsidRDefault="00605590" w:rsidP="0026175C">
      <w:r>
        <w:separator/>
      </w:r>
    </w:p>
  </w:footnote>
  <w:footnote w:type="continuationSeparator" w:id="0">
    <w:p w:rsidR="00605590" w:rsidRDefault="00605590" w:rsidP="0026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42" w:rsidRDefault="00557442">
    <w:pPr>
      <w:pStyle w:val="Header"/>
    </w:pPr>
    <w:r>
      <w:rPr>
        <w:noProof/>
      </w:rPr>
      <w:drawing>
        <wp:anchor distT="0" distB="0" distL="114300" distR="114300" simplePos="0" relativeHeight="251657728" behindDoc="1" locked="1" layoutInCell="1" allowOverlap="1">
          <wp:simplePos x="0" y="0"/>
          <wp:positionH relativeFrom="page">
            <wp:posOffset>-4445</wp:posOffset>
          </wp:positionH>
          <wp:positionV relativeFrom="page">
            <wp:posOffset>0</wp:posOffset>
          </wp:positionV>
          <wp:extent cx="7771130" cy="832485"/>
          <wp:effectExtent l="19050" t="0" r="127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91720"/>
                  <a:stretch>
                    <a:fillRect/>
                  </a:stretch>
                </pic:blipFill>
                <pic:spPr bwMode="auto">
                  <a:xfrm>
                    <a:off x="0" y="0"/>
                    <a:ext cx="7771130" cy="832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192"/>
    <w:multiLevelType w:val="hybridMultilevel"/>
    <w:tmpl w:val="7F289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F4E30"/>
    <w:multiLevelType w:val="hybridMultilevel"/>
    <w:tmpl w:val="60B8E426"/>
    <w:lvl w:ilvl="0" w:tplc="1318C2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C52F06"/>
    <w:multiLevelType w:val="hybridMultilevel"/>
    <w:tmpl w:val="81F4E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D630BA"/>
    <w:multiLevelType w:val="hybridMultilevel"/>
    <w:tmpl w:val="603EA432"/>
    <w:lvl w:ilvl="0" w:tplc="9C02661A">
      <w:start w:val="1"/>
      <w:numFmt w:val="decimal"/>
      <w:lvlText w:val="%1."/>
      <w:lvlJc w:val="left"/>
      <w:pPr>
        <w:ind w:left="360" w:hanging="360"/>
      </w:pPr>
      <w:rPr>
        <w:rFonts w:ascii="Garamond" w:hAnsi="Garamond"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F76BFC"/>
    <w:multiLevelType w:val="hybridMultilevel"/>
    <w:tmpl w:val="006C8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343643"/>
    <w:multiLevelType w:val="hybridMultilevel"/>
    <w:tmpl w:val="D2F48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D4119"/>
    <w:multiLevelType w:val="hybridMultilevel"/>
    <w:tmpl w:val="D81E8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7509D"/>
    <w:multiLevelType w:val="hybridMultilevel"/>
    <w:tmpl w:val="AB6E3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410D53"/>
    <w:multiLevelType w:val="hybridMultilevel"/>
    <w:tmpl w:val="CA42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37705"/>
    <w:multiLevelType w:val="hybridMultilevel"/>
    <w:tmpl w:val="16145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D452E0"/>
    <w:multiLevelType w:val="hybridMultilevel"/>
    <w:tmpl w:val="5918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1DC3"/>
    <w:multiLevelType w:val="hybridMultilevel"/>
    <w:tmpl w:val="0584F8B2"/>
    <w:lvl w:ilvl="0" w:tplc="04090001">
      <w:start w:val="1"/>
      <w:numFmt w:val="bullet"/>
      <w:lvlText w:val=""/>
      <w:lvlJc w:val="left"/>
      <w:pPr>
        <w:ind w:left="720" w:hanging="720"/>
      </w:pPr>
      <w:rPr>
        <w:rFonts w:ascii="Symbol" w:hAnsi="Symbol" w:hint="default"/>
        <w:color w:val="4F81BD" w:themeColor="accen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C04A4A"/>
    <w:multiLevelType w:val="hybridMultilevel"/>
    <w:tmpl w:val="65828B8C"/>
    <w:lvl w:ilvl="0" w:tplc="9CA85D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51858A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B6905"/>
    <w:multiLevelType w:val="hybridMultilevel"/>
    <w:tmpl w:val="520C1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6CD1F27"/>
    <w:multiLevelType w:val="hybridMultilevel"/>
    <w:tmpl w:val="131C9C88"/>
    <w:lvl w:ilvl="0" w:tplc="4D74D9A2">
      <w:start w:val="1"/>
      <w:numFmt w:val="bullet"/>
      <w:lvlText w:val=""/>
      <w:lvlJc w:val="left"/>
      <w:pPr>
        <w:ind w:left="2160" w:hanging="144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5E7788"/>
    <w:multiLevelType w:val="hybridMultilevel"/>
    <w:tmpl w:val="ABFEB3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51858A2">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B1423"/>
    <w:multiLevelType w:val="hybridMultilevel"/>
    <w:tmpl w:val="86F4D208"/>
    <w:lvl w:ilvl="0" w:tplc="2200A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D20EF1"/>
    <w:multiLevelType w:val="hybridMultilevel"/>
    <w:tmpl w:val="DAAEB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7858E8"/>
    <w:multiLevelType w:val="hybridMultilevel"/>
    <w:tmpl w:val="2FEE0264"/>
    <w:lvl w:ilvl="0" w:tplc="9052FCA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6E46D43"/>
    <w:multiLevelType w:val="hybridMultilevel"/>
    <w:tmpl w:val="0988E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E016CC"/>
    <w:multiLevelType w:val="hybridMultilevel"/>
    <w:tmpl w:val="AA728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93529A"/>
    <w:multiLevelType w:val="hybridMultilevel"/>
    <w:tmpl w:val="29248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F01E79"/>
    <w:multiLevelType w:val="hybridMultilevel"/>
    <w:tmpl w:val="94EEE05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C5FFF"/>
    <w:multiLevelType w:val="hybridMultilevel"/>
    <w:tmpl w:val="1BC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E6B78"/>
    <w:multiLevelType w:val="hybridMultilevel"/>
    <w:tmpl w:val="38B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86845"/>
    <w:multiLevelType w:val="hybridMultilevel"/>
    <w:tmpl w:val="DC288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9F5A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8E346C7"/>
    <w:multiLevelType w:val="hybridMultilevel"/>
    <w:tmpl w:val="2A1CF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A05858"/>
    <w:multiLevelType w:val="hybridMultilevel"/>
    <w:tmpl w:val="BE822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7D630D"/>
    <w:multiLevelType w:val="hybridMultilevel"/>
    <w:tmpl w:val="6CE4C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D95A76"/>
    <w:multiLevelType w:val="hybridMultilevel"/>
    <w:tmpl w:val="739C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627E2"/>
    <w:multiLevelType w:val="hybridMultilevel"/>
    <w:tmpl w:val="8D881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AB04A7"/>
    <w:multiLevelType w:val="hybridMultilevel"/>
    <w:tmpl w:val="2ECE2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2F35F1"/>
    <w:multiLevelType w:val="hybridMultilevel"/>
    <w:tmpl w:val="726AB6F0"/>
    <w:lvl w:ilvl="0" w:tplc="0409000F">
      <w:start w:val="1"/>
      <w:numFmt w:val="decimal"/>
      <w:lvlText w:val="%1."/>
      <w:lvlJc w:val="left"/>
      <w:pPr>
        <w:ind w:left="720" w:hanging="360"/>
      </w:pPr>
    </w:lvl>
    <w:lvl w:ilvl="1" w:tplc="8C70488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24"/>
  </w:num>
  <w:num w:numId="4">
    <w:abstractNumId w:val="2"/>
  </w:num>
  <w:num w:numId="5">
    <w:abstractNumId w:val="19"/>
  </w:num>
  <w:num w:numId="6">
    <w:abstractNumId w:val="6"/>
  </w:num>
  <w:num w:numId="7">
    <w:abstractNumId w:val="18"/>
  </w:num>
  <w:num w:numId="8">
    <w:abstractNumId w:val="8"/>
  </w:num>
  <w:num w:numId="9">
    <w:abstractNumId w:val="26"/>
  </w:num>
  <w:num w:numId="10">
    <w:abstractNumId w:val="31"/>
  </w:num>
  <w:num w:numId="11">
    <w:abstractNumId w:val="23"/>
  </w:num>
  <w:num w:numId="12">
    <w:abstractNumId w:val="0"/>
  </w:num>
  <w:num w:numId="13">
    <w:abstractNumId w:val="15"/>
  </w:num>
  <w:num w:numId="14">
    <w:abstractNumId w:val="14"/>
  </w:num>
  <w:num w:numId="15">
    <w:abstractNumId w:val="29"/>
  </w:num>
  <w:num w:numId="16">
    <w:abstractNumId w:val="12"/>
  </w:num>
  <w:num w:numId="17">
    <w:abstractNumId w:val="28"/>
  </w:num>
  <w:num w:numId="18">
    <w:abstractNumId w:val="3"/>
  </w:num>
  <w:num w:numId="19">
    <w:abstractNumId w:val="32"/>
  </w:num>
  <w:num w:numId="20">
    <w:abstractNumId w:val="7"/>
  </w:num>
  <w:num w:numId="21">
    <w:abstractNumId w:val="1"/>
  </w:num>
  <w:num w:numId="22">
    <w:abstractNumId w:val="16"/>
  </w:num>
  <w:num w:numId="23">
    <w:abstractNumId w:val="33"/>
  </w:num>
  <w:num w:numId="24">
    <w:abstractNumId w:val="30"/>
  </w:num>
  <w:num w:numId="25">
    <w:abstractNumId w:val="11"/>
  </w:num>
  <w:num w:numId="26">
    <w:abstractNumId w:val="13"/>
  </w:num>
  <w:num w:numId="27">
    <w:abstractNumId w:val="20"/>
  </w:num>
  <w:num w:numId="28">
    <w:abstractNumId w:val="22"/>
  </w:num>
  <w:num w:numId="29">
    <w:abstractNumId w:val="5"/>
  </w:num>
  <w:num w:numId="30">
    <w:abstractNumId w:val="25"/>
  </w:num>
  <w:num w:numId="31">
    <w:abstractNumId w:val="21"/>
  </w:num>
  <w:num w:numId="32">
    <w:abstractNumId w:val="17"/>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5C"/>
    <w:rsid w:val="000009E4"/>
    <w:rsid w:val="0000504D"/>
    <w:rsid w:val="00010657"/>
    <w:rsid w:val="000107A6"/>
    <w:rsid w:val="00010A6D"/>
    <w:rsid w:val="00020F60"/>
    <w:rsid w:val="00033A7C"/>
    <w:rsid w:val="0005048B"/>
    <w:rsid w:val="000634F1"/>
    <w:rsid w:val="00063C72"/>
    <w:rsid w:val="00071BEA"/>
    <w:rsid w:val="00077E49"/>
    <w:rsid w:val="00084130"/>
    <w:rsid w:val="00095C23"/>
    <w:rsid w:val="00096F5D"/>
    <w:rsid w:val="0009740C"/>
    <w:rsid w:val="000A2F79"/>
    <w:rsid w:val="000A6CD9"/>
    <w:rsid w:val="000B1E7B"/>
    <w:rsid w:val="000D0051"/>
    <w:rsid w:val="000D3376"/>
    <w:rsid w:val="000D3788"/>
    <w:rsid w:val="000D4396"/>
    <w:rsid w:val="000D602A"/>
    <w:rsid w:val="000E3EF4"/>
    <w:rsid w:val="000E663F"/>
    <w:rsid w:val="000F7E03"/>
    <w:rsid w:val="00104195"/>
    <w:rsid w:val="001054F6"/>
    <w:rsid w:val="001379A0"/>
    <w:rsid w:val="0014496A"/>
    <w:rsid w:val="0016338D"/>
    <w:rsid w:val="0018124C"/>
    <w:rsid w:val="001832F2"/>
    <w:rsid w:val="001A7D65"/>
    <w:rsid w:val="001C0CDD"/>
    <w:rsid w:val="001C6BA7"/>
    <w:rsid w:val="001D0E38"/>
    <w:rsid w:val="001D5536"/>
    <w:rsid w:val="001D5626"/>
    <w:rsid w:val="001E6C0D"/>
    <w:rsid w:val="001E71A1"/>
    <w:rsid w:val="00200AC5"/>
    <w:rsid w:val="00202540"/>
    <w:rsid w:val="002070C3"/>
    <w:rsid w:val="00213DE2"/>
    <w:rsid w:val="002173D1"/>
    <w:rsid w:val="00221732"/>
    <w:rsid w:val="00222954"/>
    <w:rsid w:val="00232A69"/>
    <w:rsid w:val="002426DE"/>
    <w:rsid w:val="00252090"/>
    <w:rsid w:val="0026175C"/>
    <w:rsid w:val="00262407"/>
    <w:rsid w:val="00287467"/>
    <w:rsid w:val="00296B94"/>
    <w:rsid w:val="002A49BB"/>
    <w:rsid w:val="002B1494"/>
    <w:rsid w:val="002B5F19"/>
    <w:rsid w:val="002C10F5"/>
    <w:rsid w:val="002F7320"/>
    <w:rsid w:val="0032304E"/>
    <w:rsid w:val="00323859"/>
    <w:rsid w:val="0035111A"/>
    <w:rsid w:val="00364471"/>
    <w:rsid w:val="00367D16"/>
    <w:rsid w:val="003731A6"/>
    <w:rsid w:val="00394765"/>
    <w:rsid w:val="003A566E"/>
    <w:rsid w:val="003A5E42"/>
    <w:rsid w:val="003A75DD"/>
    <w:rsid w:val="003B5C1B"/>
    <w:rsid w:val="003C258B"/>
    <w:rsid w:val="003C4BC5"/>
    <w:rsid w:val="003D06C2"/>
    <w:rsid w:val="003E2E5E"/>
    <w:rsid w:val="003E59E4"/>
    <w:rsid w:val="003E7750"/>
    <w:rsid w:val="003E7A8D"/>
    <w:rsid w:val="004008DF"/>
    <w:rsid w:val="00404CDA"/>
    <w:rsid w:val="00434057"/>
    <w:rsid w:val="0043520F"/>
    <w:rsid w:val="004407CF"/>
    <w:rsid w:val="00446555"/>
    <w:rsid w:val="00465B96"/>
    <w:rsid w:val="0047261D"/>
    <w:rsid w:val="0048030C"/>
    <w:rsid w:val="00485D2D"/>
    <w:rsid w:val="0049146C"/>
    <w:rsid w:val="004A2FC9"/>
    <w:rsid w:val="004A3554"/>
    <w:rsid w:val="004A7201"/>
    <w:rsid w:val="004B4A6A"/>
    <w:rsid w:val="004E6FE3"/>
    <w:rsid w:val="00504981"/>
    <w:rsid w:val="0051612B"/>
    <w:rsid w:val="005166E0"/>
    <w:rsid w:val="005233EE"/>
    <w:rsid w:val="0053618C"/>
    <w:rsid w:val="00551400"/>
    <w:rsid w:val="00553632"/>
    <w:rsid w:val="00557442"/>
    <w:rsid w:val="005635ED"/>
    <w:rsid w:val="00581159"/>
    <w:rsid w:val="00581AFE"/>
    <w:rsid w:val="00591C53"/>
    <w:rsid w:val="005A18F5"/>
    <w:rsid w:val="005A4320"/>
    <w:rsid w:val="005B07E5"/>
    <w:rsid w:val="005B4A0C"/>
    <w:rsid w:val="005C5347"/>
    <w:rsid w:val="005C758D"/>
    <w:rsid w:val="005D52EB"/>
    <w:rsid w:val="005E2B6A"/>
    <w:rsid w:val="005F0BAD"/>
    <w:rsid w:val="00605590"/>
    <w:rsid w:val="00616E35"/>
    <w:rsid w:val="006252CF"/>
    <w:rsid w:val="00627F84"/>
    <w:rsid w:val="00631302"/>
    <w:rsid w:val="00642AFA"/>
    <w:rsid w:val="006538C8"/>
    <w:rsid w:val="006562E8"/>
    <w:rsid w:val="00656457"/>
    <w:rsid w:val="00670ABD"/>
    <w:rsid w:val="006713E0"/>
    <w:rsid w:val="0068325C"/>
    <w:rsid w:val="00684105"/>
    <w:rsid w:val="006931B2"/>
    <w:rsid w:val="00696D22"/>
    <w:rsid w:val="006A7AFA"/>
    <w:rsid w:val="006B4CEF"/>
    <w:rsid w:val="006C2F95"/>
    <w:rsid w:val="006C6A52"/>
    <w:rsid w:val="006D59F0"/>
    <w:rsid w:val="006E073B"/>
    <w:rsid w:val="006E45E5"/>
    <w:rsid w:val="00714A9E"/>
    <w:rsid w:val="00723D32"/>
    <w:rsid w:val="007319CF"/>
    <w:rsid w:val="00746D84"/>
    <w:rsid w:val="00756111"/>
    <w:rsid w:val="0076340D"/>
    <w:rsid w:val="007711B1"/>
    <w:rsid w:val="00771995"/>
    <w:rsid w:val="00772221"/>
    <w:rsid w:val="00774ECD"/>
    <w:rsid w:val="00791754"/>
    <w:rsid w:val="007A6E7B"/>
    <w:rsid w:val="007B11F2"/>
    <w:rsid w:val="007C1DC3"/>
    <w:rsid w:val="007F15E0"/>
    <w:rsid w:val="007F4F9E"/>
    <w:rsid w:val="007F7A52"/>
    <w:rsid w:val="008019AA"/>
    <w:rsid w:val="0081335C"/>
    <w:rsid w:val="00821A0E"/>
    <w:rsid w:val="00827FEE"/>
    <w:rsid w:val="0083473C"/>
    <w:rsid w:val="00835F15"/>
    <w:rsid w:val="00843B06"/>
    <w:rsid w:val="00855BAB"/>
    <w:rsid w:val="00865EE3"/>
    <w:rsid w:val="00872C2D"/>
    <w:rsid w:val="008820D4"/>
    <w:rsid w:val="00883DB0"/>
    <w:rsid w:val="00884F73"/>
    <w:rsid w:val="00893030"/>
    <w:rsid w:val="008A3399"/>
    <w:rsid w:val="008A43D4"/>
    <w:rsid w:val="008C646B"/>
    <w:rsid w:val="008C7141"/>
    <w:rsid w:val="008F4B03"/>
    <w:rsid w:val="008F6412"/>
    <w:rsid w:val="0090100B"/>
    <w:rsid w:val="009022BC"/>
    <w:rsid w:val="009037E0"/>
    <w:rsid w:val="00925376"/>
    <w:rsid w:val="00925926"/>
    <w:rsid w:val="00941F7E"/>
    <w:rsid w:val="00945921"/>
    <w:rsid w:val="0095388E"/>
    <w:rsid w:val="00953F9F"/>
    <w:rsid w:val="00977847"/>
    <w:rsid w:val="00982334"/>
    <w:rsid w:val="00986F5F"/>
    <w:rsid w:val="00990F33"/>
    <w:rsid w:val="00993199"/>
    <w:rsid w:val="0099614F"/>
    <w:rsid w:val="009B79AE"/>
    <w:rsid w:val="009C24FF"/>
    <w:rsid w:val="009C7A49"/>
    <w:rsid w:val="009E6B92"/>
    <w:rsid w:val="00A31997"/>
    <w:rsid w:val="00A36F2F"/>
    <w:rsid w:val="00A3792B"/>
    <w:rsid w:val="00A40AB2"/>
    <w:rsid w:val="00A443E7"/>
    <w:rsid w:val="00A50772"/>
    <w:rsid w:val="00A50CFB"/>
    <w:rsid w:val="00A5376D"/>
    <w:rsid w:val="00A53C29"/>
    <w:rsid w:val="00A54063"/>
    <w:rsid w:val="00A62569"/>
    <w:rsid w:val="00A6655D"/>
    <w:rsid w:val="00A7736C"/>
    <w:rsid w:val="00A84A73"/>
    <w:rsid w:val="00AA0407"/>
    <w:rsid w:val="00AA2151"/>
    <w:rsid w:val="00AA3E94"/>
    <w:rsid w:val="00AB31A7"/>
    <w:rsid w:val="00AC2FD5"/>
    <w:rsid w:val="00AC5E2F"/>
    <w:rsid w:val="00AD0346"/>
    <w:rsid w:val="00AE2778"/>
    <w:rsid w:val="00AE2D73"/>
    <w:rsid w:val="00AE44D5"/>
    <w:rsid w:val="00AF4A30"/>
    <w:rsid w:val="00B019C6"/>
    <w:rsid w:val="00B16EE3"/>
    <w:rsid w:val="00B4159E"/>
    <w:rsid w:val="00B515F3"/>
    <w:rsid w:val="00B66703"/>
    <w:rsid w:val="00B75E70"/>
    <w:rsid w:val="00B85930"/>
    <w:rsid w:val="00BB27D2"/>
    <w:rsid w:val="00BB2A0F"/>
    <w:rsid w:val="00BB550D"/>
    <w:rsid w:val="00BB5879"/>
    <w:rsid w:val="00BB7220"/>
    <w:rsid w:val="00BC383E"/>
    <w:rsid w:val="00BC49A4"/>
    <w:rsid w:val="00BD0025"/>
    <w:rsid w:val="00BD3AED"/>
    <w:rsid w:val="00BD5D23"/>
    <w:rsid w:val="00BD5FE2"/>
    <w:rsid w:val="00BE42B5"/>
    <w:rsid w:val="00C0115F"/>
    <w:rsid w:val="00C012F4"/>
    <w:rsid w:val="00C03AAC"/>
    <w:rsid w:val="00C04103"/>
    <w:rsid w:val="00C1230C"/>
    <w:rsid w:val="00C24A72"/>
    <w:rsid w:val="00C40943"/>
    <w:rsid w:val="00C57BB5"/>
    <w:rsid w:val="00C61762"/>
    <w:rsid w:val="00C6192C"/>
    <w:rsid w:val="00C72063"/>
    <w:rsid w:val="00C861B6"/>
    <w:rsid w:val="00C865C5"/>
    <w:rsid w:val="00C87EB9"/>
    <w:rsid w:val="00C87FF1"/>
    <w:rsid w:val="00CC665F"/>
    <w:rsid w:val="00CD7619"/>
    <w:rsid w:val="00CE6FAD"/>
    <w:rsid w:val="00D17459"/>
    <w:rsid w:val="00D24570"/>
    <w:rsid w:val="00D2581E"/>
    <w:rsid w:val="00D30E25"/>
    <w:rsid w:val="00D329AD"/>
    <w:rsid w:val="00D37745"/>
    <w:rsid w:val="00D84629"/>
    <w:rsid w:val="00D90ECD"/>
    <w:rsid w:val="00DA756E"/>
    <w:rsid w:val="00DB76A4"/>
    <w:rsid w:val="00DC72E9"/>
    <w:rsid w:val="00DD14A1"/>
    <w:rsid w:val="00DD412F"/>
    <w:rsid w:val="00DD791D"/>
    <w:rsid w:val="00DE0C79"/>
    <w:rsid w:val="00DE19E1"/>
    <w:rsid w:val="00DE6EFC"/>
    <w:rsid w:val="00DE7D86"/>
    <w:rsid w:val="00DF0048"/>
    <w:rsid w:val="00DF22CE"/>
    <w:rsid w:val="00DF2976"/>
    <w:rsid w:val="00DF4D2D"/>
    <w:rsid w:val="00DF5E03"/>
    <w:rsid w:val="00E027E1"/>
    <w:rsid w:val="00E05979"/>
    <w:rsid w:val="00E05C92"/>
    <w:rsid w:val="00E1343E"/>
    <w:rsid w:val="00E25F80"/>
    <w:rsid w:val="00E30325"/>
    <w:rsid w:val="00E414CE"/>
    <w:rsid w:val="00E53F9F"/>
    <w:rsid w:val="00E67128"/>
    <w:rsid w:val="00E71CBB"/>
    <w:rsid w:val="00E74F32"/>
    <w:rsid w:val="00E75F51"/>
    <w:rsid w:val="00E777A2"/>
    <w:rsid w:val="00E81331"/>
    <w:rsid w:val="00E854CE"/>
    <w:rsid w:val="00E92F8C"/>
    <w:rsid w:val="00EC4487"/>
    <w:rsid w:val="00ED3C21"/>
    <w:rsid w:val="00EE0CDD"/>
    <w:rsid w:val="00EE1B97"/>
    <w:rsid w:val="00EF33F8"/>
    <w:rsid w:val="00F13A3E"/>
    <w:rsid w:val="00F21E94"/>
    <w:rsid w:val="00F22554"/>
    <w:rsid w:val="00F3514E"/>
    <w:rsid w:val="00F37F2A"/>
    <w:rsid w:val="00F575F9"/>
    <w:rsid w:val="00F66AC7"/>
    <w:rsid w:val="00F72E28"/>
    <w:rsid w:val="00FA346E"/>
    <w:rsid w:val="00FB5B95"/>
    <w:rsid w:val="00FB6449"/>
    <w:rsid w:val="00FF2AD3"/>
    <w:rsid w:val="00FF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1E"/>
    <w:rPr>
      <w:rFonts w:ascii="Garamond" w:hAnsi="Garamond"/>
      <w:sz w:val="24"/>
      <w:szCs w:val="22"/>
    </w:rPr>
  </w:style>
  <w:style w:type="paragraph" w:styleId="Heading2">
    <w:name w:val="heading 2"/>
    <w:basedOn w:val="Normal"/>
    <w:next w:val="Normal"/>
    <w:link w:val="Heading2Char"/>
    <w:uiPriority w:val="9"/>
    <w:qFormat/>
    <w:rsid w:val="00C57BB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5C"/>
    <w:pPr>
      <w:tabs>
        <w:tab w:val="center" w:pos="4680"/>
        <w:tab w:val="right" w:pos="9360"/>
      </w:tabs>
    </w:pPr>
  </w:style>
  <w:style w:type="character" w:customStyle="1" w:styleId="HeaderChar">
    <w:name w:val="Header Char"/>
    <w:basedOn w:val="DefaultParagraphFont"/>
    <w:link w:val="Header"/>
    <w:uiPriority w:val="99"/>
    <w:rsid w:val="0026175C"/>
  </w:style>
  <w:style w:type="paragraph" w:styleId="Footer">
    <w:name w:val="footer"/>
    <w:basedOn w:val="Normal"/>
    <w:link w:val="FooterChar"/>
    <w:uiPriority w:val="99"/>
    <w:unhideWhenUsed/>
    <w:rsid w:val="0026175C"/>
    <w:pPr>
      <w:tabs>
        <w:tab w:val="center" w:pos="4680"/>
        <w:tab w:val="right" w:pos="9360"/>
      </w:tabs>
    </w:pPr>
  </w:style>
  <w:style w:type="character" w:customStyle="1" w:styleId="FooterChar">
    <w:name w:val="Footer Char"/>
    <w:basedOn w:val="DefaultParagraphFont"/>
    <w:link w:val="Footer"/>
    <w:uiPriority w:val="99"/>
    <w:rsid w:val="0026175C"/>
  </w:style>
  <w:style w:type="paragraph" w:styleId="BodyText2">
    <w:name w:val="Body Text 2"/>
    <w:basedOn w:val="Normal"/>
    <w:link w:val="BodyText2Char"/>
    <w:uiPriority w:val="99"/>
    <w:unhideWhenUsed/>
    <w:rsid w:val="00DA756E"/>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uiPriority w:val="99"/>
    <w:rsid w:val="00DA756E"/>
    <w:rPr>
      <w:rFonts w:ascii="Times New Roman" w:eastAsia="Times New Roman" w:hAnsi="Times New Roman"/>
      <w:sz w:val="24"/>
      <w:szCs w:val="24"/>
    </w:rPr>
  </w:style>
  <w:style w:type="character" w:styleId="Hyperlink">
    <w:name w:val="Hyperlink"/>
    <w:basedOn w:val="DefaultParagraphFont"/>
    <w:uiPriority w:val="99"/>
    <w:unhideWhenUsed/>
    <w:rsid w:val="00DA756E"/>
    <w:rPr>
      <w:color w:val="0000FF"/>
      <w:u w:val="single"/>
    </w:rPr>
  </w:style>
  <w:style w:type="paragraph" w:styleId="ListParagraph">
    <w:name w:val="List Paragraph"/>
    <w:basedOn w:val="Normal"/>
    <w:uiPriority w:val="34"/>
    <w:qFormat/>
    <w:rsid w:val="003E2E5E"/>
    <w:pPr>
      <w:ind w:left="720"/>
      <w:contextualSpacing/>
    </w:pPr>
    <w:rPr>
      <w:rFonts w:ascii="Times" w:eastAsia="Times" w:hAnsi="Times"/>
      <w:szCs w:val="20"/>
    </w:rPr>
  </w:style>
  <w:style w:type="paragraph" w:styleId="BalloonText">
    <w:name w:val="Balloon Text"/>
    <w:basedOn w:val="Normal"/>
    <w:link w:val="BalloonTextChar"/>
    <w:uiPriority w:val="99"/>
    <w:semiHidden/>
    <w:unhideWhenUsed/>
    <w:rsid w:val="00071BEA"/>
    <w:rPr>
      <w:rFonts w:ascii="Tahoma" w:hAnsi="Tahoma" w:cs="Tahoma"/>
      <w:sz w:val="16"/>
      <w:szCs w:val="16"/>
    </w:rPr>
  </w:style>
  <w:style w:type="character" w:customStyle="1" w:styleId="BalloonTextChar">
    <w:name w:val="Balloon Text Char"/>
    <w:basedOn w:val="DefaultParagraphFont"/>
    <w:link w:val="BalloonText"/>
    <w:uiPriority w:val="99"/>
    <w:semiHidden/>
    <w:rsid w:val="00071BEA"/>
    <w:rPr>
      <w:rFonts w:ascii="Tahoma" w:hAnsi="Tahoma" w:cs="Tahoma"/>
      <w:sz w:val="16"/>
      <w:szCs w:val="16"/>
    </w:rPr>
  </w:style>
  <w:style w:type="table" w:styleId="TableGrid">
    <w:name w:val="Table Grid"/>
    <w:basedOn w:val="TableNormal"/>
    <w:uiPriority w:val="59"/>
    <w:rsid w:val="0021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100B"/>
    <w:pPr>
      <w:spacing w:before="63" w:after="188" w:line="250" w:lineRule="atLeast"/>
    </w:pPr>
    <w:rPr>
      <w:rFonts w:ascii="Arial" w:eastAsia="Times New Roman" w:hAnsi="Arial" w:cs="Arial"/>
      <w:color w:val="666666"/>
      <w:sz w:val="18"/>
      <w:szCs w:val="18"/>
    </w:rPr>
  </w:style>
  <w:style w:type="character" w:customStyle="1" w:styleId="bold1">
    <w:name w:val="bold1"/>
    <w:basedOn w:val="DefaultParagraphFont"/>
    <w:rsid w:val="0090100B"/>
    <w:rPr>
      <w:b/>
      <w:bCs/>
    </w:rPr>
  </w:style>
  <w:style w:type="character" w:customStyle="1" w:styleId="italic1">
    <w:name w:val="italic1"/>
    <w:basedOn w:val="DefaultParagraphFont"/>
    <w:rsid w:val="0090100B"/>
    <w:rPr>
      <w:i/>
      <w:iCs/>
    </w:rPr>
  </w:style>
  <w:style w:type="paragraph" w:customStyle="1" w:styleId="LetterBody">
    <w:name w:val="Letter Body"/>
    <w:basedOn w:val="Normal"/>
    <w:rsid w:val="000B1E7B"/>
    <w:pPr>
      <w:overflowPunct w:val="0"/>
      <w:autoSpaceDE w:val="0"/>
      <w:autoSpaceDN w:val="0"/>
      <w:adjustRightInd w:val="0"/>
      <w:spacing w:after="260" w:line="260" w:lineRule="exact"/>
      <w:textAlignment w:val="baseline"/>
    </w:pPr>
    <w:rPr>
      <w:rFonts w:ascii="Times" w:eastAsia="Times New Roman" w:hAnsi="Times"/>
      <w:noProof/>
      <w:szCs w:val="20"/>
    </w:rPr>
  </w:style>
  <w:style w:type="paragraph" w:customStyle="1" w:styleId="PAParaText">
    <w:name w:val="PA_ParaText"/>
    <w:basedOn w:val="Normal"/>
    <w:rsid w:val="000B1E7B"/>
    <w:pPr>
      <w:spacing w:after="120"/>
      <w:jc w:val="both"/>
    </w:pPr>
    <w:rPr>
      <w:rFonts w:ascii="Arial" w:eastAsia="SimSun" w:hAnsi="Arial"/>
      <w:sz w:val="20"/>
      <w:szCs w:val="20"/>
      <w:lang w:eastAsia="zh-CN"/>
    </w:rPr>
  </w:style>
  <w:style w:type="character" w:customStyle="1" w:styleId="CLPracticalLink">
    <w:name w:val="CL_PracticalLink"/>
    <w:basedOn w:val="DefaultParagraphFont"/>
    <w:rsid w:val="000B1E7B"/>
    <w:rPr>
      <w:vanish/>
      <w:color w:val="auto"/>
      <w:u w:val="words" w:color="FFFFFF"/>
      <w:vertAlign w:val="superscript"/>
    </w:rPr>
  </w:style>
  <w:style w:type="paragraph" w:styleId="Title">
    <w:name w:val="Title"/>
    <w:basedOn w:val="Normal"/>
    <w:link w:val="TitleChar"/>
    <w:uiPriority w:val="10"/>
    <w:qFormat/>
    <w:rsid w:val="002B5F19"/>
    <w:pPr>
      <w:jc w:val="center"/>
    </w:pPr>
    <w:rPr>
      <w:rFonts w:ascii="Times New Roman" w:eastAsia="Times New Roman" w:hAnsi="Times New Roman"/>
      <w:b/>
      <w:bCs/>
      <w:szCs w:val="24"/>
    </w:rPr>
  </w:style>
  <w:style w:type="character" w:customStyle="1" w:styleId="TitleChar">
    <w:name w:val="Title Char"/>
    <w:basedOn w:val="DefaultParagraphFont"/>
    <w:link w:val="Title"/>
    <w:uiPriority w:val="10"/>
    <w:rsid w:val="002B5F19"/>
    <w:rPr>
      <w:rFonts w:ascii="Times New Roman" w:eastAsia="Times New Roman" w:hAnsi="Times New Roman"/>
      <w:b/>
      <w:bCs/>
      <w:sz w:val="24"/>
      <w:szCs w:val="24"/>
    </w:rPr>
  </w:style>
  <w:style w:type="paragraph" w:customStyle="1" w:styleId="BodyTextSimple">
    <w:name w:val="Body Text Simple"/>
    <w:basedOn w:val="BodyText"/>
    <w:uiPriority w:val="99"/>
    <w:rsid w:val="006538C8"/>
    <w:pPr>
      <w:spacing w:after="0"/>
      <w:jc w:val="both"/>
    </w:pPr>
    <w:rPr>
      <w:rFonts w:ascii="Arial" w:eastAsia="Times New Roman" w:hAnsi="Arial"/>
      <w:szCs w:val="20"/>
    </w:rPr>
  </w:style>
  <w:style w:type="paragraph" w:styleId="BodyText">
    <w:name w:val="Body Text"/>
    <w:basedOn w:val="Normal"/>
    <w:link w:val="BodyTextChar"/>
    <w:uiPriority w:val="99"/>
    <w:semiHidden/>
    <w:unhideWhenUsed/>
    <w:rsid w:val="006538C8"/>
    <w:pPr>
      <w:spacing w:after="120"/>
    </w:pPr>
  </w:style>
  <w:style w:type="character" w:customStyle="1" w:styleId="BodyTextChar">
    <w:name w:val="Body Text Char"/>
    <w:basedOn w:val="DefaultParagraphFont"/>
    <w:link w:val="BodyText"/>
    <w:uiPriority w:val="99"/>
    <w:semiHidden/>
    <w:rsid w:val="006538C8"/>
    <w:rPr>
      <w:rFonts w:ascii="Garamond" w:hAnsi="Garamond"/>
      <w:sz w:val="24"/>
      <w:szCs w:val="22"/>
    </w:rPr>
  </w:style>
  <w:style w:type="character" w:customStyle="1" w:styleId="Heading2Char">
    <w:name w:val="Heading 2 Char"/>
    <w:basedOn w:val="DefaultParagraphFont"/>
    <w:link w:val="Heading2"/>
    <w:uiPriority w:val="9"/>
    <w:rsid w:val="00C57BB5"/>
    <w:rPr>
      <w:rFonts w:ascii="Cambria" w:eastAsia="Times New Roman" w:hAnsi="Cambria"/>
      <w:b/>
      <w:bCs/>
      <w:i/>
      <w:iCs/>
      <w:sz w:val="28"/>
      <w:szCs w:val="28"/>
    </w:rPr>
  </w:style>
  <w:style w:type="character" w:styleId="CommentReference">
    <w:name w:val="annotation reference"/>
    <w:basedOn w:val="DefaultParagraphFont"/>
    <w:uiPriority w:val="99"/>
    <w:semiHidden/>
    <w:unhideWhenUsed/>
    <w:rsid w:val="004E6FE3"/>
    <w:rPr>
      <w:sz w:val="16"/>
      <w:szCs w:val="16"/>
    </w:rPr>
  </w:style>
  <w:style w:type="paragraph" w:styleId="CommentText">
    <w:name w:val="annotation text"/>
    <w:basedOn w:val="Normal"/>
    <w:link w:val="CommentTextChar"/>
    <w:uiPriority w:val="99"/>
    <w:semiHidden/>
    <w:unhideWhenUsed/>
    <w:rsid w:val="004E6FE3"/>
    <w:rPr>
      <w:sz w:val="20"/>
      <w:szCs w:val="20"/>
    </w:rPr>
  </w:style>
  <w:style w:type="character" w:customStyle="1" w:styleId="CommentTextChar">
    <w:name w:val="Comment Text Char"/>
    <w:basedOn w:val="DefaultParagraphFont"/>
    <w:link w:val="CommentText"/>
    <w:uiPriority w:val="99"/>
    <w:semiHidden/>
    <w:rsid w:val="004E6FE3"/>
    <w:rPr>
      <w:rFonts w:ascii="Garamond" w:hAnsi="Garamond"/>
    </w:rPr>
  </w:style>
  <w:style w:type="paragraph" w:styleId="CommentSubject">
    <w:name w:val="annotation subject"/>
    <w:basedOn w:val="CommentText"/>
    <w:next w:val="CommentText"/>
    <w:link w:val="CommentSubjectChar"/>
    <w:uiPriority w:val="99"/>
    <w:semiHidden/>
    <w:unhideWhenUsed/>
    <w:rsid w:val="004E6FE3"/>
    <w:rPr>
      <w:b/>
      <w:bCs/>
    </w:rPr>
  </w:style>
  <w:style w:type="character" w:customStyle="1" w:styleId="CommentSubjectChar">
    <w:name w:val="Comment Subject Char"/>
    <w:basedOn w:val="CommentTextChar"/>
    <w:link w:val="CommentSubject"/>
    <w:uiPriority w:val="99"/>
    <w:semiHidden/>
    <w:rsid w:val="004E6FE3"/>
    <w:rPr>
      <w:rFonts w:ascii="Garamond" w:hAnsi="Garamond"/>
      <w:b/>
      <w:bCs/>
    </w:rPr>
  </w:style>
  <w:style w:type="paragraph" w:styleId="Revision">
    <w:name w:val="Revision"/>
    <w:hidden/>
    <w:uiPriority w:val="99"/>
    <w:semiHidden/>
    <w:rsid w:val="004E6FE3"/>
    <w:rPr>
      <w:rFonts w:ascii="Garamond" w:hAnsi="Garamon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1E"/>
    <w:rPr>
      <w:rFonts w:ascii="Garamond" w:hAnsi="Garamond"/>
      <w:sz w:val="24"/>
      <w:szCs w:val="22"/>
    </w:rPr>
  </w:style>
  <w:style w:type="paragraph" w:styleId="Heading2">
    <w:name w:val="heading 2"/>
    <w:basedOn w:val="Normal"/>
    <w:next w:val="Normal"/>
    <w:link w:val="Heading2Char"/>
    <w:uiPriority w:val="9"/>
    <w:qFormat/>
    <w:rsid w:val="00C57BB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5C"/>
    <w:pPr>
      <w:tabs>
        <w:tab w:val="center" w:pos="4680"/>
        <w:tab w:val="right" w:pos="9360"/>
      </w:tabs>
    </w:pPr>
  </w:style>
  <w:style w:type="character" w:customStyle="1" w:styleId="HeaderChar">
    <w:name w:val="Header Char"/>
    <w:basedOn w:val="DefaultParagraphFont"/>
    <w:link w:val="Header"/>
    <w:uiPriority w:val="99"/>
    <w:rsid w:val="0026175C"/>
  </w:style>
  <w:style w:type="paragraph" w:styleId="Footer">
    <w:name w:val="footer"/>
    <w:basedOn w:val="Normal"/>
    <w:link w:val="FooterChar"/>
    <w:uiPriority w:val="99"/>
    <w:unhideWhenUsed/>
    <w:rsid w:val="0026175C"/>
    <w:pPr>
      <w:tabs>
        <w:tab w:val="center" w:pos="4680"/>
        <w:tab w:val="right" w:pos="9360"/>
      </w:tabs>
    </w:pPr>
  </w:style>
  <w:style w:type="character" w:customStyle="1" w:styleId="FooterChar">
    <w:name w:val="Footer Char"/>
    <w:basedOn w:val="DefaultParagraphFont"/>
    <w:link w:val="Footer"/>
    <w:uiPriority w:val="99"/>
    <w:rsid w:val="0026175C"/>
  </w:style>
  <w:style w:type="paragraph" w:styleId="BodyText2">
    <w:name w:val="Body Text 2"/>
    <w:basedOn w:val="Normal"/>
    <w:link w:val="BodyText2Char"/>
    <w:uiPriority w:val="99"/>
    <w:unhideWhenUsed/>
    <w:rsid w:val="00DA756E"/>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uiPriority w:val="99"/>
    <w:rsid w:val="00DA756E"/>
    <w:rPr>
      <w:rFonts w:ascii="Times New Roman" w:eastAsia="Times New Roman" w:hAnsi="Times New Roman"/>
      <w:sz w:val="24"/>
      <w:szCs w:val="24"/>
    </w:rPr>
  </w:style>
  <w:style w:type="character" w:styleId="Hyperlink">
    <w:name w:val="Hyperlink"/>
    <w:basedOn w:val="DefaultParagraphFont"/>
    <w:uiPriority w:val="99"/>
    <w:unhideWhenUsed/>
    <w:rsid w:val="00DA756E"/>
    <w:rPr>
      <w:color w:val="0000FF"/>
      <w:u w:val="single"/>
    </w:rPr>
  </w:style>
  <w:style w:type="paragraph" w:styleId="ListParagraph">
    <w:name w:val="List Paragraph"/>
    <w:basedOn w:val="Normal"/>
    <w:uiPriority w:val="34"/>
    <w:qFormat/>
    <w:rsid w:val="003E2E5E"/>
    <w:pPr>
      <w:ind w:left="720"/>
      <w:contextualSpacing/>
    </w:pPr>
    <w:rPr>
      <w:rFonts w:ascii="Times" w:eastAsia="Times" w:hAnsi="Times"/>
      <w:szCs w:val="20"/>
    </w:rPr>
  </w:style>
  <w:style w:type="paragraph" w:styleId="BalloonText">
    <w:name w:val="Balloon Text"/>
    <w:basedOn w:val="Normal"/>
    <w:link w:val="BalloonTextChar"/>
    <w:uiPriority w:val="99"/>
    <w:semiHidden/>
    <w:unhideWhenUsed/>
    <w:rsid w:val="00071BEA"/>
    <w:rPr>
      <w:rFonts w:ascii="Tahoma" w:hAnsi="Tahoma" w:cs="Tahoma"/>
      <w:sz w:val="16"/>
      <w:szCs w:val="16"/>
    </w:rPr>
  </w:style>
  <w:style w:type="character" w:customStyle="1" w:styleId="BalloonTextChar">
    <w:name w:val="Balloon Text Char"/>
    <w:basedOn w:val="DefaultParagraphFont"/>
    <w:link w:val="BalloonText"/>
    <w:uiPriority w:val="99"/>
    <w:semiHidden/>
    <w:rsid w:val="00071BEA"/>
    <w:rPr>
      <w:rFonts w:ascii="Tahoma" w:hAnsi="Tahoma" w:cs="Tahoma"/>
      <w:sz w:val="16"/>
      <w:szCs w:val="16"/>
    </w:rPr>
  </w:style>
  <w:style w:type="table" w:styleId="TableGrid">
    <w:name w:val="Table Grid"/>
    <w:basedOn w:val="TableNormal"/>
    <w:uiPriority w:val="59"/>
    <w:rsid w:val="0021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100B"/>
    <w:pPr>
      <w:spacing w:before="63" w:after="188" w:line="250" w:lineRule="atLeast"/>
    </w:pPr>
    <w:rPr>
      <w:rFonts w:ascii="Arial" w:eastAsia="Times New Roman" w:hAnsi="Arial" w:cs="Arial"/>
      <w:color w:val="666666"/>
      <w:sz w:val="18"/>
      <w:szCs w:val="18"/>
    </w:rPr>
  </w:style>
  <w:style w:type="character" w:customStyle="1" w:styleId="bold1">
    <w:name w:val="bold1"/>
    <w:basedOn w:val="DefaultParagraphFont"/>
    <w:rsid w:val="0090100B"/>
    <w:rPr>
      <w:b/>
      <w:bCs/>
    </w:rPr>
  </w:style>
  <w:style w:type="character" w:customStyle="1" w:styleId="italic1">
    <w:name w:val="italic1"/>
    <w:basedOn w:val="DefaultParagraphFont"/>
    <w:rsid w:val="0090100B"/>
    <w:rPr>
      <w:i/>
      <w:iCs/>
    </w:rPr>
  </w:style>
  <w:style w:type="paragraph" w:customStyle="1" w:styleId="LetterBody">
    <w:name w:val="Letter Body"/>
    <w:basedOn w:val="Normal"/>
    <w:rsid w:val="000B1E7B"/>
    <w:pPr>
      <w:overflowPunct w:val="0"/>
      <w:autoSpaceDE w:val="0"/>
      <w:autoSpaceDN w:val="0"/>
      <w:adjustRightInd w:val="0"/>
      <w:spacing w:after="260" w:line="260" w:lineRule="exact"/>
      <w:textAlignment w:val="baseline"/>
    </w:pPr>
    <w:rPr>
      <w:rFonts w:ascii="Times" w:eastAsia="Times New Roman" w:hAnsi="Times"/>
      <w:noProof/>
      <w:szCs w:val="20"/>
    </w:rPr>
  </w:style>
  <w:style w:type="paragraph" w:customStyle="1" w:styleId="PAParaText">
    <w:name w:val="PA_ParaText"/>
    <w:basedOn w:val="Normal"/>
    <w:rsid w:val="000B1E7B"/>
    <w:pPr>
      <w:spacing w:after="120"/>
      <w:jc w:val="both"/>
    </w:pPr>
    <w:rPr>
      <w:rFonts w:ascii="Arial" w:eastAsia="SimSun" w:hAnsi="Arial"/>
      <w:sz w:val="20"/>
      <w:szCs w:val="20"/>
      <w:lang w:eastAsia="zh-CN"/>
    </w:rPr>
  </w:style>
  <w:style w:type="character" w:customStyle="1" w:styleId="CLPracticalLink">
    <w:name w:val="CL_PracticalLink"/>
    <w:basedOn w:val="DefaultParagraphFont"/>
    <w:rsid w:val="000B1E7B"/>
    <w:rPr>
      <w:vanish/>
      <w:color w:val="auto"/>
      <w:u w:val="words" w:color="FFFFFF"/>
      <w:vertAlign w:val="superscript"/>
    </w:rPr>
  </w:style>
  <w:style w:type="paragraph" w:styleId="Title">
    <w:name w:val="Title"/>
    <w:basedOn w:val="Normal"/>
    <w:link w:val="TitleChar"/>
    <w:uiPriority w:val="10"/>
    <w:qFormat/>
    <w:rsid w:val="002B5F19"/>
    <w:pPr>
      <w:jc w:val="center"/>
    </w:pPr>
    <w:rPr>
      <w:rFonts w:ascii="Times New Roman" w:eastAsia="Times New Roman" w:hAnsi="Times New Roman"/>
      <w:b/>
      <w:bCs/>
      <w:szCs w:val="24"/>
    </w:rPr>
  </w:style>
  <w:style w:type="character" w:customStyle="1" w:styleId="TitleChar">
    <w:name w:val="Title Char"/>
    <w:basedOn w:val="DefaultParagraphFont"/>
    <w:link w:val="Title"/>
    <w:uiPriority w:val="10"/>
    <w:rsid w:val="002B5F19"/>
    <w:rPr>
      <w:rFonts w:ascii="Times New Roman" w:eastAsia="Times New Roman" w:hAnsi="Times New Roman"/>
      <w:b/>
      <w:bCs/>
      <w:sz w:val="24"/>
      <w:szCs w:val="24"/>
    </w:rPr>
  </w:style>
  <w:style w:type="paragraph" w:customStyle="1" w:styleId="BodyTextSimple">
    <w:name w:val="Body Text Simple"/>
    <w:basedOn w:val="BodyText"/>
    <w:uiPriority w:val="99"/>
    <w:rsid w:val="006538C8"/>
    <w:pPr>
      <w:spacing w:after="0"/>
      <w:jc w:val="both"/>
    </w:pPr>
    <w:rPr>
      <w:rFonts w:ascii="Arial" w:eastAsia="Times New Roman" w:hAnsi="Arial"/>
      <w:szCs w:val="20"/>
    </w:rPr>
  </w:style>
  <w:style w:type="paragraph" w:styleId="BodyText">
    <w:name w:val="Body Text"/>
    <w:basedOn w:val="Normal"/>
    <w:link w:val="BodyTextChar"/>
    <w:uiPriority w:val="99"/>
    <w:semiHidden/>
    <w:unhideWhenUsed/>
    <w:rsid w:val="006538C8"/>
    <w:pPr>
      <w:spacing w:after="120"/>
    </w:pPr>
  </w:style>
  <w:style w:type="character" w:customStyle="1" w:styleId="BodyTextChar">
    <w:name w:val="Body Text Char"/>
    <w:basedOn w:val="DefaultParagraphFont"/>
    <w:link w:val="BodyText"/>
    <w:uiPriority w:val="99"/>
    <w:semiHidden/>
    <w:rsid w:val="006538C8"/>
    <w:rPr>
      <w:rFonts w:ascii="Garamond" w:hAnsi="Garamond"/>
      <w:sz w:val="24"/>
      <w:szCs w:val="22"/>
    </w:rPr>
  </w:style>
  <w:style w:type="character" w:customStyle="1" w:styleId="Heading2Char">
    <w:name w:val="Heading 2 Char"/>
    <w:basedOn w:val="DefaultParagraphFont"/>
    <w:link w:val="Heading2"/>
    <w:uiPriority w:val="9"/>
    <w:rsid w:val="00C57BB5"/>
    <w:rPr>
      <w:rFonts w:ascii="Cambria" w:eastAsia="Times New Roman" w:hAnsi="Cambria"/>
      <w:b/>
      <w:bCs/>
      <w:i/>
      <w:iCs/>
      <w:sz w:val="28"/>
      <w:szCs w:val="28"/>
    </w:rPr>
  </w:style>
  <w:style w:type="character" w:styleId="CommentReference">
    <w:name w:val="annotation reference"/>
    <w:basedOn w:val="DefaultParagraphFont"/>
    <w:uiPriority w:val="99"/>
    <w:semiHidden/>
    <w:unhideWhenUsed/>
    <w:rsid w:val="004E6FE3"/>
    <w:rPr>
      <w:sz w:val="16"/>
      <w:szCs w:val="16"/>
    </w:rPr>
  </w:style>
  <w:style w:type="paragraph" w:styleId="CommentText">
    <w:name w:val="annotation text"/>
    <w:basedOn w:val="Normal"/>
    <w:link w:val="CommentTextChar"/>
    <w:uiPriority w:val="99"/>
    <w:semiHidden/>
    <w:unhideWhenUsed/>
    <w:rsid w:val="004E6FE3"/>
    <w:rPr>
      <w:sz w:val="20"/>
      <w:szCs w:val="20"/>
    </w:rPr>
  </w:style>
  <w:style w:type="character" w:customStyle="1" w:styleId="CommentTextChar">
    <w:name w:val="Comment Text Char"/>
    <w:basedOn w:val="DefaultParagraphFont"/>
    <w:link w:val="CommentText"/>
    <w:uiPriority w:val="99"/>
    <w:semiHidden/>
    <w:rsid w:val="004E6FE3"/>
    <w:rPr>
      <w:rFonts w:ascii="Garamond" w:hAnsi="Garamond"/>
    </w:rPr>
  </w:style>
  <w:style w:type="paragraph" w:styleId="CommentSubject">
    <w:name w:val="annotation subject"/>
    <w:basedOn w:val="CommentText"/>
    <w:next w:val="CommentText"/>
    <w:link w:val="CommentSubjectChar"/>
    <w:uiPriority w:val="99"/>
    <w:semiHidden/>
    <w:unhideWhenUsed/>
    <w:rsid w:val="004E6FE3"/>
    <w:rPr>
      <w:b/>
      <w:bCs/>
    </w:rPr>
  </w:style>
  <w:style w:type="character" w:customStyle="1" w:styleId="CommentSubjectChar">
    <w:name w:val="Comment Subject Char"/>
    <w:basedOn w:val="CommentTextChar"/>
    <w:link w:val="CommentSubject"/>
    <w:uiPriority w:val="99"/>
    <w:semiHidden/>
    <w:rsid w:val="004E6FE3"/>
    <w:rPr>
      <w:rFonts w:ascii="Garamond" w:hAnsi="Garamond"/>
      <w:b/>
      <w:bCs/>
    </w:rPr>
  </w:style>
  <w:style w:type="paragraph" w:styleId="Revision">
    <w:name w:val="Revision"/>
    <w:hidden/>
    <w:uiPriority w:val="99"/>
    <w:semiHidden/>
    <w:rsid w:val="004E6FE3"/>
    <w:rPr>
      <w:rFonts w:ascii="Garamond" w:hAnsi="Garamon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6117">
      <w:bodyDiv w:val="1"/>
      <w:marLeft w:val="0"/>
      <w:marRight w:val="0"/>
      <w:marTop w:val="0"/>
      <w:marBottom w:val="0"/>
      <w:divBdr>
        <w:top w:val="none" w:sz="0" w:space="0" w:color="auto"/>
        <w:left w:val="none" w:sz="0" w:space="0" w:color="auto"/>
        <w:bottom w:val="none" w:sz="0" w:space="0" w:color="auto"/>
        <w:right w:val="none" w:sz="0" w:space="0" w:color="auto"/>
      </w:divBdr>
      <w:divsChild>
        <w:div w:id="898399398">
          <w:marLeft w:val="0"/>
          <w:marRight w:val="0"/>
          <w:marTop w:val="250"/>
          <w:marBottom w:val="0"/>
          <w:divBdr>
            <w:top w:val="none" w:sz="0" w:space="0" w:color="auto"/>
            <w:left w:val="none" w:sz="0" w:space="0" w:color="auto"/>
            <w:bottom w:val="none" w:sz="0" w:space="0" w:color="auto"/>
            <w:right w:val="none" w:sz="0" w:space="0" w:color="auto"/>
          </w:divBdr>
          <w:divsChild>
            <w:div w:id="684594385">
              <w:marLeft w:val="0"/>
              <w:marRight w:val="0"/>
              <w:marTop w:val="0"/>
              <w:marBottom w:val="0"/>
              <w:divBdr>
                <w:top w:val="none" w:sz="0" w:space="0" w:color="auto"/>
                <w:left w:val="none" w:sz="0" w:space="0" w:color="auto"/>
                <w:bottom w:val="none" w:sz="0" w:space="0" w:color="auto"/>
                <w:right w:val="none" w:sz="0" w:space="0" w:color="auto"/>
              </w:divBdr>
              <w:divsChild>
                <w:div w:id="1293826290">
                  <w:marLeft w:val="0"/>
                  <w:marRight w:val="0"/>
                  <w:marTop w:val="0"/>
                  <w:marBottom w:val="125"/>
                  <w:divBdr>
                    <w:top w:val="none" w:sz="0" w:space="0" w:color="auto"/>
                    <w:left w:val="none" w:sz="0" w:space="0" w:color="auto"/>
                    <w:bottom w:val="none" w:sz="0" w:space="0" w:color="auto"/>
                    <w:right w:val="none" w:sz="0" w:space="0" w:color="auto"/>
                  </w:divBdr>
                  <w:divsChild>
                    <w:div w:id="429160582">
                      <w:marLeft w:val="0"/>
                      <w:marRight w:val="0"/>
                      <w:marTop w:val="0"/>
                      <w:marBottom w:val="0"/>
                      <w:divBdr>
                        <w:top w:val="none" w:sz="0" w:space="0" w:color="auto"/>
                        <w:left w:val="none" w:sz="0" w:space="0" w:color="auto"/>
                        <w:bottom w:val="none" w:sz="0" w:space="0" w:color="auto"/>
                        <w:right w:val="none" w:sz="0" w:space="0" w:color="auto"/>
                      </w:divBdr>
                      <w:divsChild>
                        <w:div w:id="224686205">
                          <w:marLeft w:val="0"/>
                          <w:marRight w:val="0"/>
                          <w:marTop w:val="0"/>
                          <w:marBottom w:val="0"/>
                          <w:divBdr>
                            <w:top w:val="none" w:sz="0" w:space="0" w:color="auto"/>
                            <w:left w:val="none" w:sz="0" w:space="0" w:color="auto"/>
                            <w:bottom w:val="none" w:sz="0" w:space="0" w:color="auto"/>
                            <w:right w:val="none" w:sz="0" w:space="0" w:color="auto"/>
                          </w:divBdr>
                          <w:divsChild>
                            <w:div w:id="2035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915152">
      <w:bodyDiv w:val="1"/>
      <w:marLeft w:val="0"/>
      <w:marRight w:val="0"/>
      <w:marTop w:val="0"/>
      <w:marBottom w:val="0"/>
      <w:divBdr>
        <w:top w:val="none" w:sz="0" w:space="0" w:color="auto"/>
        <w:left w:val="none" w:sz="0" w:space="0" w:color="auto"/>
        <w:bottom w:val="none" w:sz="0" w:space="0" w:color="auto"/>
        <w:right w:val="none" w:sz="0" w:space="0" w:color="auto"/>
      </w:divBdr>
    </w:div>
    <w:div w:id="881987972">
      <w:bodyDiv w:val="1"/>
      <w:marLeft w:val="0"/>
      <w:marRight w:val="0"/>
      <w:marTop w:val="0"/>
      <w:marBottom w:val="0"/>
      <w:divBdr>
        <w:top w:val="none" w:sz="0" w:space="0" w:color="auto"/>
        <w:left w:val="none" w:sz="0" w:space="0" w:color="auto"/>
        <w:bottom w:val="none" w:sz="0" w:space="0" w:color="auto"/>
        <w:right w:val="none" w:sz="0" w:space="0" w:color="auto"/>
      </w:divBdr>
      <w:divsChild>
        <w:div w:id="440607437">
          <w:marLeft w:val="0"/>
          <w:marRight w:val="0"/>
          <w:marTop w:val="250"/>
          <w:marBottom w:val="0"/>
          <w:divBdr>
            <w:top w:val="none" w:sz="0" w:space="0" w:color="auto"/>
            <w:left w:val="none" w:sz="0" w:space="0" w:color="auto"/>
            <w:bottom w:val="none" w:sz="0" w:space="0" w:color="auto"/>
            <w:right w:val="none" w:sz="0" w:space="0" w:color="auto"/>
          </w:divBdr>
          <w:divsChild>
            <w:div w:id="2056152652">
              <w:marLeft w:val="0"/>
              <w:marRight w:val="0"/>
              <w:marTop w:val="0"/>
              <w:marBottom w:val="0"/>
              <w:divBdr>
                <w:top w:val="none" w:sz="0" w:space="0" w:color="auto"/>
                <w:left w:val="none" w:sz="0" w:space="0" w:color="auto"/>
                <w:bottom w:val="none" w:sz="0" w:space="0" w:color="auto"/>
                <w:right w:val="none" w:sz="0" w:space="0" w:color="auto"/>
              </w:divBdr>
              <w:divsChild>
                <w:div w:id="1054350298">
                  <w:marLeft w:val="0"/>
                  <w:marRight w:val="0"/>
                  <w:marTop w:val="0"/>
                  <w:marBottom w:val="125"/>
                  <w:divBdr>
                    <w:top w:val="none" w:sz="0" w:space="0" w:color="auto"/>
                    <w:left w:val="none" w:sz="0" w:space="0" w:color="auto"/>
                    <w:bottom w:val="none" w:sz="0" w:space="0" w:color="auto"/>
                    <w:right w:val="none" w:sz="0" w:space="0" w:color="auto"/>
                  </w:divBdr>
                  <w:divsChild>
                    <w:div w:id="1032145133">
                      <w:marLeft w:val="0"/>
                      <w:marRight w:val="0"/>
                      <w:marTop w:val="0"/>
                      <w:marBottom w:val="0"/>
                      <w:divBdr>
                        <w:top w:val="none" w:sz="0" w:space="0" w:color="auto"/>
                        <w:left w:val="none" w:sz="0" w:space="0" w:color="auto"/>
                        <w:bottom w:val="none" w:sz="0" w:space="0" w:color="auto"/>
                        <w:right w:val="none" w:sz="0" w:space="0" w:color="auto"/>
                      </w:divBdr>
                      <w:divsChild>
                        <w:div w:id="1937249396">
                          <w:marLeft w:val="0"/>
                          <w:marRight w:val="0"/>
                          <w:marTop w:val="0"/>
                          <w:marBottom w:val="0"/>
                          <w:divBdr>
                            <w:top w:val="none" w:sz="0" w:space="0" w:color="auto"/>
                            <w:left w:val="none" w:sz="0" w:space="0" w:color="auto"/>
                            <w:bottom w:val="none" w:sz="0" w:space="0" w:color="auto"/>
                            <w:right w:val="none" w:sz="0" w:space="0" w:color="auto"/>
                          </w:divBdr>
                          <w:divsChild>
                            <w:div w:id="679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7A8D5-7CD2-4751-A502-7C0E7BE0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2015-07-22T22:44:00Z</dcterms:created>
  <dcterms:modified xsi:type="dcterms:W3CDTF">2015-07-22T22:44:00Z</dcterms:modified>
</cp:coreProperties>
</file>